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624" w:afterLines="200" w:line="480" w:lineRule="auto"/>
        <w:ind w:firstLine="0" w:firstLineChars="0"/>
        <w:rPr>
          <w:rFonts w:hint="eastAsia" w:ascii="宋体" w:hAnsi="宋体" w:eastAsia="宋体" w:cs="宋体"/>
          <w:b/>
          <w:color w:val="FF0000"/>
          <w:sz w:val="44"/>
          <w:szCs w:val="44"/>
        </w:rPr>
      </w:pPr>
      <w:bookmarkStart w:id="0" w:name="_Hlk10968745"/>
      <w:bookmarkEnd w:id="0"/>
      <w:r>
        <w:rPr>
          <w:rFonts w:hint="eastAsia" w:ascii="宋体" w:hAnsi="宋体" w:eastAsia="宋体" w:cs="宋体"/>
          <w:b/>
          <w:color w:val="FF0000"/>
          <w:sz w:val="44"/>
          <w:szCs w:val="44"/>
        </w:rPr>
        <w:t xml:space="preserve">  </w:t>
      </w:r>
    </w:p>
    <w:p>
      <w:pPr>
        <w:spacing w:after="624" w:afterLines="200" w:line="480" w:lineRule="auto"/>
        <w:ind w:firstLine="0" w:firstLineChars="0"/>
        <w:jc w:val="center"/>
        <w:rPr>
          <w:rFonts w:hint="default" w:ascii="宋体" w:hAnsi="宋体" w:eastAsia="宋体" w:cs="宋体"/>
          <w:b/>
          <w:sz w:val="52"/>
          <w:szCs w:val="52"/>
          <w:lang w:val="en-US"/>
        </w:rPr>
      </w:pPr>
      <w:r>
        <w:rPr>
          <w:rFonts w:hint="eastAsia" w:cs="宋体"/>
          <w:b/>
          <w:sz w:val="56"/>
          <w:szCs w:val="24"/>
          <w:lang w:val="en-US" w:eastAsia="zh-CN"/>
        </w:rPr>
        <w:t>中药饮片</w:t>
      </w:r>
    </w:p>
    <w:p>
      <w:pPr>
        <w:spacing w:after="624" w:afterLines="200" w:line="480" w:lineRule="auto"/>
        <w:ind w:firstLine="0" w:firstLineChars="0"/>
        <w:jc w:val="center"/>
        <w:rPr>
          <w:rFonts w:hint="eastAsia" w:ascii="宋体" w:hAnsi="宋体" w:eastAsia="宋体" w:cs="宋体"/>
          <w:b/>
          <w:sz w:val="48"/>
        </w:rPr>
      </w:pPr>
      <w:r>
        <w:rPr>
          <w:rFonts w:hint="eastAsia" w:ascii="宋体" w:hAnsi="宋体" w:eastAsia="宋体" w:cs="宋体"/>
          <w:b/>
          <w:sz w:val="48"/>
        </w:rPr>
        <w:t>用户使用手册</w:t>
      </w:r>
    </w:p>
    <w:p>
      <w:pPr>
        <w:spacing w:after="624" w:afterLines="200"/>
        <w:ind w:firstLine="0" w:firstLineChars="0"/>
        <w:jc w:val="center"/>
        <w:rPr>
          <w:rFonts w:hint="eastAsia" w:ascii="宋体" w:hAnsi="宋体" w:eastAsia="宋体" w:cs="宋体"/>
          <w:b/>
          <w:sz w:val="32"/>
          <w:szCs w:val="16"/>
        </w:rPr>
      </w:pPr>
      <w:r>
        <w:rPr>
          <w:rFonts w:hint="eastAsia" w:ascii="宋体" w:hAnsi="宋体" w:eastAsia="宋体" w:cs="宋体"/>
          <w:b/>
          <w:sz w:val="32"/>
          <w:szCs w:val="16"/>
        </w:rPr>
        <w:t>（V1.0）</w:t>
      </w: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202</w:t>
      </w:r>
      <w:r>
        <w:rPr>
          <w:rFonts w:hint="eastAsia" w:cs="宋体"/>
          <w:sz w:val="32"/>
          <w:szCs w:val="32"/>
          <w:lang w:val="en-US" w:eastAsia="zh-CN"/>
        </w:rPr>
        <w:t>3</w:t>
      </w:r>
      <w:r>
        <w:rPr>
          <w:rFonts w:hint="eastAsia" w:ascii="宋体" w:hAnsi="宋体" w:eastAsia="宋体" w:cs="宋体"/>
          <w:sz w:val="32"/>
          <w:szCs w:val="32"/>
        </w:rPr>
        <w:t>年</w:t>
      </w:r>
      <w:r>
        <w:rPr>
          <w:rFonts w:hint="eastAsia" w:cs="宋体"/>
          <w:sz w:val="32"/>
          <w:szCs w:val="32"/>
          <w:lang w:val="en-US" w:eastAsia="zh-CN"/>
        </w:rPr>
        <w:t>11</w:t>
      </w:r>
      <w:r>
        <w:rPr>
          <w:rFonts w:hint="eastAsia" w:ascii="宋体" w:hAnsi="宋体" w:eastAsia="宋体" w:cs="宋体"/>
          <w:sz w:val="32"/>
          <w:szCs w:val="32"/>
        </w:rPr>
        <w:t>月</w:t>
      </w:r>
    </w:p>
    <w:p>
      <w:pPr>
        <w:spacing w:line="480" w:lineRule="auto"/>
        <w:ind w:firstLine="0" w:firstLineChars="0"/>
        <w:jc w:val="center"/>
        <w:rPr>
          <w:rFonts w:hint="eastAsia" w:ascii="宋体" w:hAnsi="宋体" w:eastAsia="宋体" w:cs="宋体"/>
          <w:b/>
          <w:bCs/>
          <w:sz w:val="30"/>
          <w:szCs w:val="30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17" w:right="1701" w:bottom="1417" w:left="1701" w:header="851" w:footer="992" w:gutter="0"/>
          <w:pgNumType w:fmt="upperRoman" w:start="1"/>
          <w:cols w:space="0" w:num="1"/>
          <w:docGrid w:type="lines" w:linePitch="312" w:charSpace="0"/>
        </w:sectPr>
      </w:pPr>
    </w:p>
    <w:p>
      <w:pPr>
        <w:ind w:firstLine="0" w:firstLineChars="0"/>
        <w:jc w:val="center"/>
        <w:rPr>
          <w:rFonts w:hint="eastAsia" w:ascii="宋体" w:hAnsi="宋体" w:eastAsia="宋体" w:cs="宋体"/>
          <w:b/>
          <w:bCs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zh-CN"/>
        </w:rPr>
        <w:t>目录</w:t>
      </w:r>
    </w:p>
    <w:p>
      <w:pPr>
        <w:pStyle w:val="23"/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TOC \o "1-3" \h \z \u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\l _Toc11006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  <w:lang w:val="en-US" w:eastAsia="zh-CN"/>
        </w:rPr>
        <w:t xml:space="preserve">1. </w:t>
      </w:r>
      <w:r>
        <w:rPr>
          <w:rFonts w:hint="eastAsia" w:ascii="宋体" w:hAnsi="宋体" w:eastAsia="宋体" w:cs="宋体"/>
        </w:rPr>
        <w:t>引言</w:t>
      </w:r>
      <w:r>
        <w:tab/>
      </w:r>
      <w:r>
        <w:fldChar w:fldCharType="begin"/>
      </w:r>
      <w:r>
        <w:instrText xml:space="preserve"> PAGEREF _Toc11006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27"/>
        <w:tabs>
          <w:tab w:val="right" w:leader="dot" w:pos="8788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_Toc11278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宋体" w:hAnsi="宋体" w:eastAsia="宋体" w:cs="宋体"/>
          <w:i w:val="0"/>
          <w:snapToGrid/>
          <w:spacing w:val="0"/>
          <w:w w:val="100"/>
          <w:kern w:val="0"/>
          <w:position w:val="0"/>
          <w:szCs w:val="32"/>
        </w:rPr>
        <w:t xml:space="preserve">1.1 </w:t>
      </w:r>
      <w:r>
        <w:rPr>
          <w:rFonts w:hint="eastAsia" w:ascii="宋体" w:hAnsi="宋体" w:eastAsia="宋体" w:cs="宋体"/>
        </w:rPr>
        <w:t>目的</w:t>
      </w:r>
      <w:r>
        <w:tab/>
      </w:r>
      <w:r>
        <w:fldChar w:fldCharType="begin"/>
      </w:r>
      <w:r>
        <w:instrText xml:space="preserve"> PAGEREF _Toc11278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27"/>
        <w:tabs>
          <w:tab w:val="right" w:leader="dot" w:pos="8788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_Toc4469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eastAsia" w:ascii="宋体" w:hAnsi="宋体" w:eastAsia="宋体" w:cs="宋体"/>
        </w:rPr>
        <w:t>1.2 项目背景</w:t>
      </w:r>
      <w:r>
        <w:tab/>
      </w:r>
      <w:r>
        <w:fldChar w:fldCharType="begin"/>
      </w:r>
      <w:r>
        <w:instrText xml:space="preserve"> PAGEREF _Toc4469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27"/>
        <w:tabs>
          <w:tab w:val="right" w:leader="dot" w:pos="8788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_Toc23277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eastAsia" w:ascii="宋体" w:hAnsi="宋体" w:eastAsia="宋体" w:cs="宋体"/>
        </w:rPr>
        <w:t>1.3 参考资料</w:t>
      </w:r>
      <w:r>
        <w:tab/>
      </w:r>
      <w:r>
        <w:fldChar w:fldCharType="begin"/>
      </w:r>
      <w:r>
        <w:instrText xml:space="preserve"> PAGEREF _Toc23277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23"/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_Toc14125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eastAsia"/>
        </w:rPr>
        <w:t>2. 功能简介</w:t>
      </w:r>
      <w:r>
        <w:tab/>
      </w:r>
      <w:r>
        <w:fldChar w:fldCharType="begin"/>
      </w:r>
      <w:r>
        <w:instrText xml:space="preserve"> PAGEREF _Toc14125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27"/>
        <w:tabs>
          <w:tab w:val="right" w:leader="dot" w:pos="8788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_Toc18280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宋体" w:hAnsi="宋体" w:eastAsia="宋体" w:cs="宋体"/>
          <w:i w:val="0"/>
          <w:snapToGrid/>
          <w:spacing w:val="0"/>
          <w:w w:val="100"/>
          <w:kern w:val="0"/>
          <w:position w:val="0"/>
          <w:szCs w:val="32"/>
        </w:rPr>
        <w:t xml:space="preserve">2.1 </w:t>
      </w:r>
      <w:r>
        <w:rPr>
          <w:rFonts w:hint="eastAsia"/>
          <w:lang w:val="en-US" w:eastAsia="zh-CN"/>
        </w:rPr>
        <w:t>账号登录</w:t>
      </w:r>
      <w:r>
        <w:tab/>
      </w:r>
      <w:r>
        <w:fldChar w:fldCharType="begin"/>
      </w:r>
      <w:r>
        <w:instrText xml:space="preserve"> PAGEREF _Toc18280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23"/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_Toc31478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eastAsia"/>
        </w:rPr>
        <w:t xml:space="preserve">3. </w:t>
      </w:r>
      <w:r>
        <w:rPr>
          <w:rFonts w:hint="eastAsia"/>
          <w:lang w:val="en-US" w:eastAsia="zh-CN"/>
        </w:rPr>
        <w:t>操作使用指南</w:t>
      </w:r>
      <w:r>
        <w:tab/>
      </w:r>
      <w:bookmarkStart w:id="19" w:name="_GoBack"/>
      <w:bookmarkEnd w:id="19"/>
      <w:r>
        <w:fldChar w:fldCharType="begin"/>
      </w:r>
      <w:r>
        <w:instrText xml:space="preserve"> PAGEREF _Toc31478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27"/>
        <w:tabs>
          <w:tab w:val="right" w:leader="dot" w:pos="8788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_Toc31231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宋体" w:hAnsi="宋体" w:eastAsia="宋体" w:cs="宋体"/>
          <w:i w:val="0"/>
          <w:snapToGrid/>
          <w:spacing w:val="0"/>
          <w:w w:val="100"/>
          <w:kern w:val="0"/>
          <w:position w:val="0"/>
          <w:szCs w:val="32"/>
          <w:lang w:val="en-US" w:eastAsia="zh-CN"/>
        </w:rPr>
        <w:t xml:space="preserve">3.1 </w:t>
      </w:r>
      <w:r>
        <w:rPr>
          <w:rFonts w:hint="eastAsia"/>
          <w:lang w:val="en-US" w:eastAsia="zh-CN"/>
        </w:rPr>
        <w:t>医疗机构</w:t>
      </w:r>
      <w:r>
        <w:tab/>
      </w:r>
      <w:r>
        <w:fldChar w:fldCharType="begin"/>
      </w:r>
      <w:r>
        <w:instrText xml:space="preserve"> PAGEREF _Toc31231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18"/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_Toc7289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  <w14:ligatures w14:val="none"/>
          <w14:numForm w14:val="default"/>
          <w14:numSpacing w14:val="default"/>
        </w:rPr>
        <w:t xml:space="preserve">3.1.1 </w:t>
      </w:r>
      <w:r>
        <w:rPr>
          <w:rFonts w:hint="eastAsia"/>
          <w:lang w:val="en-US" w:eastAsia="zh-CN"/>
        </w:rPr>
        <w:t>加入院内目录</w:t>
      </w:r>
      <w:r>
        <w:tab/>
      </w:r>
      <w:r>
        <w:fldChar w:fldCharType="begin"/>
      </w:r>
      <w:r>
        <w:instrText xml:space="preserve"> PAGEREF _Toc7289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18"/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_Toc20537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  <w14:ligatures w14:val="none"/>
          <w14:numForm w14:val="default"/>
          <w14:numSpacing w14:val="default"/>
        </w:rPr>
        <w:t xml:space="preserve">3.1.2 </w:t>
      </w:r>
      <w:r>
        <w:rPr>
          <w:rFonts w:hint="eastAsia"/>
          <w:lang w:val="en-US" w:eastAsia="zh-CN"/>
        </w:rPr>
        <w:t>议价管理</w:t>
      </w:r>
      <w:r>
        <w:tab/>
      </w:r>
      <w:r>
        <w:fldChar w:fldCharType="begin"/>
      </w:r>
      <w:r>
        <w:instrText xml:space="preserve"> PAGEREF _Toc20537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18"/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_Toc13727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  <w14:ligatures w14:val="none"/>
          <w14:numForm w14:val="default"/>
          <w14:numSpacing w14:val="default"/>
        </w:rPr>
        <w:t xml:space="preserve">3.1.3 </w:t>
      </w:r>
      <w:r>
        <w:rPr>
          <w:rFonts w:hint="eastAsia"/>
          <w:lang w:val="en-US" w:eastAsia="zh-CN"/>
        </w:rPr>
        <w:t>采购计划管理</w:t>
      </w:r>
      <w:r>
        <w:tab/>
      </w:r>
      <w:r>
        <w:fldChar w:fldCharType="begin"/>
      </w:r>
      <w:r>
        <w:instrText xml:space="preserve"> PAGEREF _Toc13727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18"/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_Toc19698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  <w14:ligatures w14:val="none"/>
          <w14:numForm w14:val="default"/>
          <w14:numSpacing w14:val="default"/>
        </w:rPr>
        <w:t xml:space="preserve">3.1.4 </w:t>
      </w:r>
      <w:r>
        <w:rPr>
          <w:rFonts w:hint="eastAsia"/>
          <w:lang w:val="en-US" w:eastAsia="zh-CN"/>
        </w:rPr>
        <w:t>收货退货管理</w:t>
      </w:r>
      <w:r>
        <w:tab/>
      </w:r>
      <w:r>
        <w:fldChar w:fldCharType="begin"/>
      </w:r>
      <w:r>
        <w:instrText xml:space="preserve"> PAGEREF _Toc19698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27"/>
        <w:tabs>
          <w:tab w:val="right" w:leader="dot" w:pos="8788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_Toc5144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宋体" w:hAnsi="宋体" w:eastAsia="宋体" w:cs="宋体"/>
          <w:i w:val="0"/>
          <w:snapToGrid/>
          <w:spacing w:val="0"/>
          <w:w w:val="100"/>
          <w:kern w:val="0"/>
          <w:position w:val="0"/>
          <w:szCs w:val="32"/>
          <w:lang w:val="en-US" w:eastAsia="zh-CN"/>
        </w:rPr>
        <w:t xml:space="preserve">3.2 </w:t>
      </w:r>
      <w:r>
        <w:rPr>
          <w:rFonts w:hint="eastAsia"/>
          <w:lang w:val="en-US" w:eastAsia="zh-CN"/>
        </w:rPr>
        <w:t>生产/代理企业</w:t>
      </w:r>
      <w:r>
        <w:tab/>
      </w:r>
      <w:r>
        <w:fldChar w:fldCharType="begin"/>
      </w:r>
      <w:r>
        <w:instrText xml:space="preserve"> PAGEREF _Toc5144 \h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18"/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_Toc11316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  <w14:ligatures w14:val="none"/>
          <w14:numForm w14:val="default"/>
          <w14:numSpacing w14:val="default"/>
        </w:rPr>
        <w:t xml:space="preserve">3.2.1 </w:t>
      </w:r>
      <w:r>
        <w:rPr>
          <w:rFonts w:hint="eastAsia"/>
          <w:lang w:val="en-US" w:eastAsia="zh-CN"/>
        </w:rPr>
        <w:t>议价管理、设置配送企业</w:t>
      </w:r>
      <w:r>
        <w:tab/>
      </w:r>
      <w:r>
        <w:fldChar w:fldCharType="begin"/>
      </w:r>
      <w:r>
        <w:instrText xml:space="preserve"> PAGEREF _Toc11316 \h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27"/>
        <w:tabs>
          <w:tab w:val="right" w:leader="dot" w:pos="8788"/>
        </w:tabs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_Toc7268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宋体" w:hAnsi="宋体" w:eastAsia="宋体" w:cs="宋体"/>
          <w:i w:val="0"/>
          <w:snapToGrid/>
          <w:spacing w:val="0"/>
          <w:w w:val="100"/>
          <w:kern w:val="0"/>
          <w:position w:val="0"/>
          <w:szCs w:val="32"/>
          <w:lang w:val="en-US" w:eastAsia="zh-CN"/>
        </w:rPr>
        <w:t xml:space="preserve">3.3 </w:t>
      </w:r>
      <w:r>
        <w:rPr>
          <w:rFonts w:hint="eastAsia"/>
          <w:lang w:val="en-US" w:eastAsia="zh-CN"/>
        </w:rPr>
        <w:t>配送企业</w:t>
      </w:r>
      <w:r>
        <w:tab/>
      </w:r>
      <w:r>
        <w:fldChar w:fldCharType="begin"/>
      </w:r>
      <w:r>
        <w:instrText xml:space="preserve"> PAGEREF _Toc7268 \h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18"/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_Toc24248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  <w14:ligatures w14:val="none"/>
          <w14:numForm w14:val="default"/>
          <w14:numSpacing w14:val="default"/>
        </w:rPr>
        <w:t xml:space="preserve">3.3.1 </w:t>
      </w:r>
      <w:r>
        <w:rPr>
          <w:rFonts w:hint="eastAsia"/>
          <w:lang w:val="en-US" w:eastAsia="zh-CN"/>
        </w:rPr>
        <w:t>议价管理、选配管理</w:t>
      </w:r>
      <w:r>
        <w:tab/>
      </w:r>
      <w:r>
        <w:fldChar w:fldCharType="begin"/>
      </w:r>
      <w:r>
        <w:instrText xml:space="preserve"> PAGEREF _Toc24248 \h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18"/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_Toc27075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 w:ascii="宋体" w:hAnsi="宋体" w:eastAsia="宋体" w:cs="宋体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  <w:lang w:val="en-US" w:eastAsia="zh-CN"/>
          <w14:ligatures w14:val="none"/>
          <w14:numForm w14:val="default"/>
          <w14:numSpacing w14:val="default"/>
        </w:rPr>
        <w:t xml:space="preserve">3.3.2 </w:t>
      </w:r>
      <w:r>
        <w:rPr>
          <w:rFonts w:hint="eastAsia"/>
          <w:lang w:val="en-US" w:eastAsia="zh-CN"/>
        </w:rPr>
        <w:t>发货退货管理</w:t>
      </w:r>
      <w:r>
        <w:tab/>
      </w:r>
      <w:r>
        <w:fldChar w:fldCharType="begin"/>
      </w:r>
      <w:r>
        <w:instrText xml:space="preserve"> PAGEREF _Toc27075 \h </w:instrText>
      </w:r>
      <w:r>
        <w:fldChar w:fldCharType="separate"/>
      </w:r>
      <w:r>
        <w:t>19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23"/>
      </w:pPr>
      <w:r>
        <w:rPr>
          <w:rFonts w:hint="eastAsia" w:ascii="宋体" w:hAnsi="宋体" w:eastAsia="宋体" w:cs="宋体"/>
          <w:bCs/>
          <w:lang w:val="zh-CN"/>
        </w:rPr>
        <w:fldChar w:fldCharType="begin"/>
      </w:r>
      <w:r>
        <w:rPr>
          <w:rFonts w:hint="eastAsia" w:ascii="宋体" w:hAnsi="宋体" w:eastAsia="宋体" w:cs="宋体"/>
          <w:bCs/>
          <w:lang w:val="zh-CN"/>
        </w:rPr>
        <w:instrText xml:space="preserve"> HYPERLINK \l _Toc29308 </w:instrText>
      </w:r>
      <w:r>
        <w:rPr>
          <w:rFonts w:hint="eastAsia" w:ascii="宋体" w:hAnsi="宋体" w:eastAsia="宋体" w:cs="宋体"/>
          <w:bCs/>
          <w:lang w:val="zh-CN"/>
        </w:rPr>
        <w:fldChar w:fldCharType="separate"/>
      </w:r>
      <w:r>
        <w:rPr>
          <w:rFonts w:hint="default"/>
          <w:lang w:val="en-US" w:eastAsia="zh-CN"/>
        </w:rPr>
        <w:t xml:space="preserve">4. </w:t>
      </w:r>
      <w:r>
        <w:rPr>
          <w:rFonts w:hint="eastAsia"/>
          <w:lang w:val="en-US" w:eastAsia="zh-CN"/>
        </w:rPr>
        <w:t>常见问题结果</w:t>
      </w:r>
      <w:r>
        <w:tab/>
      </w:r>
      <w:r>
        <w:fldChar w:fldCharType="begin"/>
      </w:r>
      <w:r>
        <w:instrText xml:space="preserve"> PAGEREF _Toc29308 \h </w:instrText>
      </w:r>
      <w:r>
        <w:fldChar w:fldCharType="separate"/>
      </w:r>
      <w:r>
        <w:t>21</w:t>
      </w:r>
      <w:r>
        <w:fldChar w:fldCharType="end"/>
      </w: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ind w:firstLine="420"/>
        <w:rPr>
          <w:rFonts w:hint="eastAsia" w:ascii="宋体" w:hAnsi="宋体" w:eastAsia="宋体" w:cs="宋体"/>
        </w:rPr>
        <w:sectPr>
          <w:footerReference r:id="rId11" w:type="default"/>
          <w:pgSz w:w="11906" w:h="16838"/>
          <w:pgMar w:top="1417" w:right="1417" w:bottom="1417" w:left="1701" w:header="851" w:footer="992" w:gutter="0"/>
          <w:pgNumType w:fmt="upperRoman"/>
          <w:cols w:space="0" w:num="1"/>
          <w:docGrid w:type="lines" w:linePitch="312" w:charSpace="0"/>
        </w:sectPr>
      </w:pPr>
      <w:r>
        <w:rPr>
          <w:rFonts w:hint="eastAsia" w:ascii="宋体" w:hAnsi="宋体" w:eastAsia="宋体" w:cs="宋体"/>
          <w:bCs/>
          <w:lang w:val="zh-CN"/>
        </w:rPr>
        <w:fldChar w:fldCharType="end"/>
      </w:r>
    </w:p>
    <w:p>
      <w:pPr>
        <w:pStyle w:val="3"/>
        <w:numPr>
          <w:ilvl w:val="0"/>
          <w:numId w:val="0"/>
        </w:numPr>
        <w:ind w:leftChars="0"/>
        <w:outlineLvl w:val="0"/>
        <w:rPr>
          <w:rFonts w:hint="eastAsia" w:ascii="宋体" w:hAnsi="宋体" w:eastAsia="宋体" w:cs="宋体"/>
        </w:rPr>
      </w:pPr>
      <w:bookmarkStart w:id="1" w:name="_Toc11006"/>
      <w:r>
        <w:rPr>
          <w:rFonts w:hint="eastAsia" w:ascii="宋体" w:hAnsi="宋体" w:eastAsia="宋体" w:cs="宋体"/>
          <w:lang w:val="en-US" w:eastAsia="zh-CN"/>
        </w:rPr>
        <w:t xml:space="preserve">1. </w:t>
      </w:r>
      <w:r>
        <w:rPr>
          <w:rFonts w:hint="eastAsia" w:ascii="宋体" w:hAnsi="宋体" w:eastAsia="宋体" w:cs="宋体"/>
        </w:rPr>
        <w:t>引言</w:t>
      </w:r>
      <w:bookmarkEnd w:id="1"/>
    </w:p>
    <w:p>
      <w:pPr>
        <w:pStyle w:val="5"/>
        <w:ind w:left="0"/>
        <w:rPr>
          <w:rFonts w:hint="eastAsia" w:ascii="宋体" w:hAnsi="宋体" w:eastAsia="宋体" w:cs="宋体"/>
        </w:rPr>
      </w:pPr>
      <w:r>
        <w:rPr>
          <w:rFonts w:hint="eastAsia" w:cs="宋体"/>
          <w:lang w:val="en-US" w:eastAsia="zh-CN"/>
        </w:rPr>
        <w:t xml:space="preserve"> </w:t>
      </w:r>
      <w:bookmarkStart w:id="2" w:name="_Toc11278"/>
      <w:r>
        <w:rPr>
          <w:rFonts w:hint="eastAsia" w:ascii="宋体" w:hAnsi="宋体" w:eastAsia="宋体" w:cs="宋体"/>
        </w:rPr>
        <w:t>目的</w:t>
      </w:r>
      <w:bookmarkEnd w:id="2"/>
    </w:p>
    <w:p>
      <w:pPr>
        <w:ind w:firstLine="420"/>
        <w:rPr>
          <w:rFonts w:hint="eastAsia" w:ascii="宋体" w:hAnsi="宋体" w:eastAsia="宋体" w:cs="宋体"/>
          <w:color w:val="000000" w:themeColor="text1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2"/>
          <w14:textFill>
            <w14:solidFill>
              <w14:schemeClr w14:val="tx1"/>
            </w14:solidFill>
          </w14:textFill>
        </w:rPr>
        <w:t>该手册是</w:t>
      </w:r>
      <w:r>
        <w:rPr>
          <w:rFonts w:hint="eastAsia" w:cs="宋体"/>
          <w:color w:val="000000" w:themeColor="text1"/>
          <w:szCs w:val="22"/>
          <w:lang w:val="en-US" w:eastAsia="zh-CN"/>
          <w14:textFill>
            <w14:solidFill>
              <w14:schemeClr w14:val="tx1"/>
            </w14:solidFill>
          </w14:textFill>
        </w:rPr>
        <w:t>介绍中药饮片相关操作</w:t>
      </w:r>
      <w:r>
        <w:rPr>
          <w:rFonts w:hint="eastAsia" w:ascii="宋体" w:hAnsi="宋体" w:eastAsia="宋体" w:cs="宋体"/>
          <w:color w:val="000000" w:themeColor="text1"/>
          <w:szCs w:val="22"/>
          <w14:textFill>
            <w14:solidFill>
              <w14:schemeClr w14:val="tx1"/>
            </w14:solidFill>
          </w14:textFill>
        </w:rPr>
        <w:t>，阐明</w:t>
      </w:r>
      <w:r>
        <w:rPr>
          <w:rFonts w:hint="eastAsia" w:cs="宋体"/>
          <w:color w:val="000000" w:themeColor="text1"/>
          <w:szCs w:val="22"/>
          <w:lang w:val="en-US" w:eastAsia="zh-CN"/>
          <w14:textFill>
            <w14:solidFill>
              <w14:schemeClr w14:val="tx1"/>
            </w14:solidFill>
          </w14:textFill>
        </w:rPr>
        <w:t>中药饮片加入院内目录、设置配送企业、创建采购计划、发货、退货等操作</w:t>
      </w:r>
      <w:r>
        <w:rPr>
          <w:rFonts w:hint="eastAsia" w:ascii="宋体" w:hAnsi="宋体" w:eastAsia="宋体" w:cs="宋体"/>
          <w:color w:val="000000" w:themeColor="text1"/>
          <w:szCs w:val="22"/>
          <w14:textFill>
            <w14:solidFill>
              <w14:schemeClr w14:val="tx1"/>
            </w14:solidFill>
          </w14:textFill>
        </w:rPr>
        <w:t>预期读者为</w:t>
      </w:r>
      <w:r>
        <w:rPr>
          <w:rFonts w:hint="eastAsia" w:cs="宋体"/>
          <w:color w:val="000000" w:themeColor="text1"/>
          <w:szCs w:val="22"/>
          <w:lang w:val="en-US" w:eastAsia="zh-CN"/>
          <w14:textFill>
            <w14:solidFill>
              <w14:schemeClr w14:val="tx1"/>
            </w14:solidFill>
          </w14:textFill>
        </w:rPr>
        <w:t>医疗机构、代理企业、配送企业等相关人员</w:t>
      </w:r>
      <w:r>
        <w:rPr>
          <w:rFonts w:hint="eastAsia" w:ascii="宋体" w:hAnsi="宋体" w:eastAsia="宋体" w:cs="宋体"/>
          <w:color w:val="000000" w:themeColor="text1"/>
          <w:szCs w:val="22"/>
          <w14:textFill>
            <w14:solidFill>
              <w14:schemeClr w14:val="tx1"/>
            </w14:solidFill>
          </w14:textFill>
        </w:rPr>
        <w:t>。</w:t>
      </w:r>
    </w:p>
    <w:p>
      <w:pPr>
        <w:pStyle w:val="5"/>
        <w:numPr>
          <w:ilvl w:val="0"/>
          <w:numId w:val="0"/>
        </w:numPr>
        <w:rPr>
          <w:rFonts w:hint="eastAsia" w:ascii="宋体" w:hAnsi="宋体" w:eastAsia="宋体" w:cs="宋体"/>
        </w:rPr>
      </w:pPr>
      <w:bookmarkStart w:id="3" w:name="_Toc4469"/>
      <w:r>
        <w:rPr>
          <w:rFonts w:hint="eastAsia" w:ascii="宋体" w:hAnsi="宋体" w:eastAsia="宋体" w:cs="宋体"/>
        </w:rPr>
        <w:t>1.2 项目背景</w:t>
      </w:r>
      <w:bookmarkEnd w:id="3"/>
    </w:p>
    <w:p>
      <w:pPr>
        <w:pStyle w:val="30"/>
        <w:rPr>
          <w:rFonts w:hint="eastAsia" w:ascii="宋体" w:hAnsi="宋体" w:eastAsia="宋体" w:cs="宋体"/>
          <w:sz w:val="21"/>
          <w:szCs w:val="16"/>
        </w:rPr>
      </w:pPr>
      <w:r>
        <w:rPr>
          <w:rFonts w:hint="eastAsia" w:ascii="宋体" w:hAnsi="宋体" w:eastAsia="宋体" w:cs="宋体"/>
          <w:sz w:val="21"/>
          <w:szCs w:val="16"/>
        </w:rPr>
        <w:t>国家医疗保障局以习近平新时代中国特色社会主义思想为指导，按照党中央、国务院的决策部署，面向医疗保障的重点领域和关键环节，持续推进全国医疗保障标准化、智能化和信息化。本项目重点加强顶层设计、统一业务标准、打造基础平台、做好数据汇集、强化协同共享，依托国家基础信息资源，国家统一电子政务网络及数据交换平台，建设全国统一的国家医疗保障信息平台，不断提高国家医保治理能力和服务水平，支撑消解新常态下我国医疗保障领域重点、难点、热点问题，为构建更加公平、更加可持续的医疗保障体系，全面实施医疗保障精准扶贫，积极推进医保与医疗、医药“三医联动”，助力提高医改整体效能和实施健康中国战略提供信息化支撑。</w:t>
      </w:r>
    </w:p>
    <w:p>
      <w:pPr>
        <w:pStyle w:val="30"/>
        <w:ind w:left="59" w:firstLineChars="0"/>
        <w:rPr>
          <w:rFonts w:hint="eastAsia" w:ascii="宋体" w:hAnsi="宋体" w:eastAsia="宋体" w:cs="宋体"/>
          <w:sz w:val="21"/>
          <w:szCs w:val="16"/>
        </w:rPr>
      </w:pPr>
      <w:r>
        <w:rPr>
          <w:rFonts w:hint="eastAsia" w:ascii="宋体" w:hAnsi="宋体" w:eastAsia="宋体" w:cs="宋体"/>
          <w:sz w:val="21"/>
          <w:szCs w:val="16"/>
        </w:rPr>
        <w:t>针对医疗保障全民覆盖、需求刚性、主体多元、业务复杂、发展不均衡及在线化服务要求高、专业化治理难度大等特点，国家医疗保障信息平台将致力于消除医疗保障信息化领域数据鸿沟、信息孤岛、技术壁垒、应用烟囱、部门藩篱等信息系统碎片化问题，注重顶层设计、标准引领、数据汇聚、资源整合、服务融合、平台建设及能力输出。医疗保障信息平台建设内容包括标准规范体系建设、信息资源规划与数据库建设、14个业务系统的建设、基础设施建设以及1个应用支撑子系统的建设。</w:t>
      </w:r>
    </w:p>
    <w:p>
      <w:pPr>
        <w:pStyle w:val="30"/>
        <w:ind w:left="59" w:firstLineChars="0"/>
        <w:rPr>
          <w:rFonts w:hint="eastAsia" w:ascii="宋体" w:hAnsi="宋体" w:eastAsia="宋体" w:cs="宋体"/>
          <w:sz w:val="21"/>
          <w:szCs w:val="16"/>
        </w:rPr>
      </w:pPr>
      <w:r>
        <w:rPr>
          <w:rFonts w:hint="eastAsia" w:ascii="宋体" w:hAnsi="宋体" w:eastAsia="宋体" w:cs="宋体"/>
          <w:sz w:val="21"/>
          <w:szCs w:val="20"/>
        </w:rPr>
        <w:t>医疗保障信息平台建成后将为13.6亿全国参保人员、约12万各级医保工作人员、3260个统筹区（包含400个市级+2860县级的统筹区）、366个经办机构（包含32个省级+334个市级）、2900万参保单位企业机构以及全国医院、药店以及药品和耗材厂家提供支持和服务。</w:t>
      </w:r>
    </w:p>
    <w:p>
      <w:pPr>
        <w:pStyle w:val="5"/>
        <w:numPr>
          <w:ilvl w:val="0"/>
          <w:numId w:val="0"/>
        </w:numPr>
        <w:rPr>
          <w:rFonts w:hint="eastAsia" w:ascii="宋体" w:hAnsi="宋体" w:eastAsia="宋体" w:cs="宋体"/>
        </w:rPr>
      </w:pPr>
      <w:bookmarkStart w:id="4" w:name="_Toc23277"/>
      <w:r>
        <w:rPr>
          <w:rFonts w:hint="eastAsia" w:ascii="宋体" w:hAnsi="宋体" w:eastAsia="宋体" w:cs="宋体"/>
        </w:rPr>
        <w:t>1.3 参考资料</w:t>
      </w:r>
      <w:bookmarkEnd w:id="4"/>
    </w:p>
    <w:p>
      <w:pPr>
        <w:ind w:firstLine="420" w:firstLineChars="0"/>
        <w:rPr>
          <w:rFonts w:hint="eastAsia" w:ascii="宋体" w:hAnsi="宋体" w:eastAsia="宋体" w:cs="宋体"/>
          <w:sz w:val="21"/>
          <w:szCs w:val="18"/>
          <w:lang w:val="en-US" w:eastAsia="zh-CN" w:bidi="ar-SA"/>
        </w:rPr>
      </w:pPr>
      <w:r>
        <w:rPr>
          <w:rFonts w:hint="eastAsia" w:ascii="宋体" w:hAnsi="宋体" w:eastAsia="宋体" w:cs="宋体"/>
          <w:sz w:val="21"/>
          <w:szCs w:val="18"/>
          <w:lang w:val="en-US" w:eastAsia="zh-CN" w:bidi="ar-SA"/>
        </w:rPr>
        <w:t>1、《文档标准编制规范》</w:t>
      </w:r>
    </w:p>
    <w:p>
      <w:pPr>
        <w:ind w:firstLine="42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4"/>
          <w:szCs w:val="21"/>
          <w:lang w:val="en-US" w:eastAsia="zh-CN" w:bidi="ar-SA"/>
        </w:rPr>
        <w:t>2、</w:t>
      </w:r>
      <w:r>
        <w:rPr>
          <w:rFonts w:hint="eastAsia" w:ascii="宋体" w:hAnsi="宋体" w:eastAsia="宋体" w:cs="宋体"/>
        </w:rPr>
        <w:t>《药品和医用耗材招采管理子系统需求规格说明书》</w:t>
      </w:r>
    </w:p>
    <w:p>
      <w:pPr>
        <w:ind w:firstLine="420" w:firstLineChars="0"/>
        <w:rPr>
          <w:rFonts w:hint="eastAsia" w:ascii="宋体" w:hAnsi="宋体" w:eastAsia="宋体" w:cs="宋体"/>
        </w:rPr>
      </w:pPr>
    </w:p>
    <w:p>
      <w:pPr>
        <w:ind w:firstLine="420" w:firstLineChars="0"/>
        <w:rPr>
          <w:rFonts w:hint="eastAsia" w:ascii="宋体" w:hAnsi="宋体" w:eastAsia="宋体" w:cs="宋体"/>
        </w:rPr>
      </w:pPr>
    </w:p>
    <w:p>
      <w:pPr>
        <w:pStyle w:val="3"/>
        <w:tabs>
          <w:tab w:val="left" w:pos="0"/>
          <w:tab w:val="clear" w:pos="3267"/>
        </w:tabs>
        <w:bidi w:val="0"/>
        <w:ind w:left="0" w:leftChars="0" w:hanging="5" w:firstLineChars="0"/>
        <w:rPr>
          <w:rFonts w:hint="eastAsia"/>
        </w:rPr>
      </w:pPr>
      <w:bookmarkStart w:id="5" w:name="_Toc14125"/>
      <w:r>
        <w:rPr>
          <w:rFonts w:hint="eastAsia"/>
        </w:rPr>
        <w:t>功能简介</w:t>
      </w:r>
      <w:bookmarkEnd w:id="5"/>
    </w:p>
    <w:p>
      <w:pPr>
        <w:pStyle w:val="5"/>
        <w:bidi w:val="0"/>
        <w:ind w:left="0" w:leftChars="0" w:firstLine="0" w:firstLineChars="0"/>
        <w:rPr>
          <w:rFonts w:hint="eastAsia"/>
        </w:rPr>
      </w:pPr>
      <w:bookmarkStart w:id="6" w:name="_Toc18280"/>
      <w:r>
        <w:rPr>
          <w:rFonts w:hint="eastAsia"/>
          <w:lang w:val="en-US" w:eastAsia="zh-CN"/>
        </w:rPr>
        <w:t>账号登录</w:t>
      </w:r>
      <w:bookmarkEnd w:id="6"/>
    </w:p>
    <w:p>
      <w:pPr>
        <w:ind w:firstLine="420"/>
        <w:rPr>
          <w:rFonts w:hint="eastAsia" w:ascii="宋体" w:hAnsi="宋体" w:eastAsia="宋体" w:cs="宋体"/>
          <w:kern w:val="2"/>
          <w:szCs w:val="22"/>
        </w:rPr>
      </w:pPr>
      <w:r>
        <w:rPr>
          <w:rFonts w:hint="eastAsia" w:ascii="宋体" w:hAnsi="宋体" w:eastAsia="宋体" w:cs="宋体"/>
          <w:kern w:val="2"/>
          <w:szCs w:val="22"/>
        </w:rPr>
        <w:t>1、医保单位经办人员，通过门户输入系统账号、密码登录系统。</w:t>
      </w:r>
    </w:p>
    <w:p>
      <w:pPr>
        <w:pStyle w:val="25"/>
        <w:jc w:val="center"/>
        <w:rPr>
          <w:rFonts w:hint="eastAsia" w:ascii="宋体" w:hAnsi="宋体" w:eastAsia="宋体" w:cs="宋体"/>
          <w:b/>
          <w:bCs/>
          <w:sz w:val="24"/>
          <w:szCs w:val="32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580380" cy="2849245"/>
            <wp:effectExtent l="0" t="0" r="7620" b="8255"/>
            <wp:docPr id="2988" name="图片 2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8" name="图片 29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宋体" w:hAnsi="宋体" w:eastAsia="宋体" w:cs="宋体"/>
          <w:kern w:val="2"/>
          <w:szCs w:val="22"/>
        </w:rPr>
      </w:pPr>
      <w:r>
        <w:rPr>
          <w:rFonts w:hint="eastAsia" w:ascii="宋体" w:hAnsi="宋体" w:eastAsia="宋体" w:cs="宋体"/>
          <w:kern w:val="2"/>
          <w:szCs w:val="22"/>
        </w:rPr>
        <w:t>2、医疗机构、生产企业通过公服，选择单位账号登录，输入账号密码进入系统</w:t>
      </w:r>
    </w:p>
    <w:p>
      <w:pPr>
        <w:pStyle w:val="25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580380" cy="2816225"/>
            <wp:effectExtent l="0" t="0" r="7620" b="3175"/>
            <wp:docPr id="3001" name="图片 3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1" name="图片 30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宋体" w:hAnsi="宋体" w:eastAsia="宋体" w:cs="宋体"/>
          <w:kern w:val="2"/>
          <w:szCs w:val="22"/>
        </w:rPr>
      </w:pPr>
      <w:r>
        <w:rPr>
          <w:rFonts w:hint="eastAsia" w:cs="宋体"/>
          <w:kern w:val="2"/>
          <w:szCs w:val="22"/>
          <w:lang w:val="en-US" w:eastAsia="zh-CN"/>
        </w:rPr>
        <w:t>3</w:t>
      </w:r>
      <w:r>
        <w:rPr>
          <w:rFonts w:hint="eastAsia" w:ascii="宋体" w:hAnsi="宋体" w:eastAsia="宋体" w:cs="宋体"/>
          <w:kern w:val="2"/>
          <w:szCs w:val="22"/>
        </w:rPr>
        <w:t>、</w:t>
      </w:r>
      <w:r>
        <w:rPr>
          <w:rFonts w:hint="eastAsia" w:cs="宋体"/>
          <w:kern w:val="2"/>
          <w:szCs w:val="22"/>
          <w:lang w:val="en-US" w:eastAsia="zh-CN"/>
        </w:rPr>
        <w:t>配送企业、代理企业</w:t>
      </w:r>
      <w:r>
        <w:rPr>
          <w:rFonts w:hint="eastAsia" w:ascii="宋体" w:hAnsi="宋体" w:eastAsia="宋体" w:cs="宋体"/>
          <w:kern w:val="2"/>
          <w:szCs w:val="22"/>
        </w:rPr>
        <w:t>通过</w:t>
      </w:r>
      <w:r>
        <w:rPr>
          <w:rFonts w:hint="eastAsia" w:cs="宋体"/>
          <w:kern w:val="2"/>
          <w:szCs w:val="22"/>
          <w:lang w:val="en-US" w:eastAsia="zh-CN"/>
        </w:rPr>
        <w:t>招采子系统</w:t>
      </w:r>
      <w:r>
        <w:rPr>
          <w:rFonts w:hint="eastAsia" w:ascii="宋体" w:hAnsi="宋体" w:eastAsia="宋体" w:cs="宋体"/>
          <w:kern w:val="2"/>
          <w:szCs w:val="22"/>
        </w:rPr>
        <w:t>，输入账号</w:t>
      </w:r>
      <w:r>
        <w:rPr>
          <w:rFonts w:hint="eastAsia" w:cs="宋体"/>
          <w:kern w:val="2"/>
          <w:szCs w:val="22"/>
          <w:lang w:eastAsia="zh-CN"/>
        </w:rPr>
        <w:t>、</w:t>
      </w:r>
      <w:r>
        <w:rPr>
          <w:rFonts w:hint="eastAsia" w:ascii="宋体" w:hAnsi="宋体" w:eastAsia="宋体" w:cs="宋体"/>
          <w:kern w:val="2"/>
          <w:szCs w:val="22"/>
        </w:rPr>
        <w:t>密码进入系统</w:t>
      </w:r>
    </w:p>
    <w:p>
      <w:pPr>
        <w:pStyle w:val="25"/>
        <w:bidi w:val="0"/>
        <w:jc w:val="center"/>
      </w:pPr>
      <w:r>
        <w:drawing>
          <wp:inline distT="0" distB="0" distL="114300" distR="114300">
            <wp:extent cx="5577840" cy="2672715"/>
            <wp:effectExtent l="0" t="0" r="1016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3"/>
        <w:tabs>
          <w:tab w:val="left" w:pos="0"/>
          <w:tab w:val="clear" w:pos="3267"/>
        </w:tabs>
        <w:bidi w:val="0"/>
        <w:ind w:left="2845" w:leftChars="0" w:hanging="2845" w:hangingChars="1012"/>
        <w:rPr>
          <w:rFonts w:hint="eastAsia"/>
        </w:rPr>
      </w:pPr>
      <w:bookmarkStart w:id="7" w:name="_Toc31478"/>
      <w:r>
        <w:rPr>
          <w:rFonts w:hint="eastAsia"/>
          <w:lang w:val="en-US" w:eastAsia="zh-CN"/>
        </w:rPr>
        <w:t>操作使用指南</w:t>
      </w:r>
      <w:bookmarkEnd w:id="7"/>
    </w:p>
    <w:p>
      <w:pPr>
        <w:pStyle w:val="5"/>
        <w:bidi w:val="0"/>
        <w:ind w:left="995" w:leftChars="0" w:hanging="995" w:hangingChars="413"/>
        <w:rPr>
          <w:rFonts w:hint="default"/>
          <w:lang w:val="en-US" w:eastAsia="zh-CN"/>
        </w:rPr>
      </w:pPr>
      <w:bookmarkStart w:id="8" w:name="_Toc31231"/>
      <w:r>
        <w:rPr>
          <w:rFonts w:hint="eastAsia"/>
          <w:lang w:val="en-US" w:eastAsia="zh-CN"/>
        </w:rPr>
        <w:t>医疗机构</w:t>
      </w:r>
      <w:bookmarkEnd w:id="8"/>
    </w:p>
    <w:p>
      <w:pPr>
        <w:pStyle w:val="6"/>
        <w:bidi w:val="0"/>
        <w:rPr>
          <w:rFonts w:hint="default"/>
          <w:lang w:val="en-US" w:eastAsia="zh-CN"/>
        </w:rPr>
      </w:pPr>
      <w:bookmarkStart w:id="9" w:name="_Toc7289"/>
      <w:r>
        <w:rPr>
          <w:rFonts w:hint="eastAsia"/>
          <w:lang w:val="en-US" w:eastAsia="zh-CN"/>
        </w:rPr>
        <w:t>加入院内目录</w:t>
      </w:r>
      <w:bookmarkEnd w:id="9"/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功能描述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介绍中药饮片加入院内目录；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操作权限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药品查询、加入院内目录、批量加入院内目录等操作；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操作流程</w:t>
      </w:r>
    </w:p>
    <w:p>
      <w:pPr>
        <w:rPr>
          <w:rFonts w:hint="eastAsia"/>
          <w:b/>
          <w:bCs/>
        </w:rPr>
      </w:pPr>
      <w:r>
        <w:rPr>
          <w:rFonts w:hint="eastAsia" w:cs="宋体"/>
          <w:b/>
          <w:bCs/>
          <w:lang w:val="en-US" w:eastAsia="zh-CN"/>
        </w:rPr>
        <w:t>【药品交易结算：目录管理-挂网目录查询】</w:t>
      </w:r>
    </w:p>
    <w:p>
      <w:pPr>
        <w:pStyle w:val="52"/>
        <w:numPr>
          <w:ilvl w:val="0"/>
          <w:numId w:val="6"/>
        </w:numPr>
        <w:ind w:firstLine="422"/>
        <w:rPr>
          <w:rFonts w:hint="default" w:cs="宋体"/>
          <w:b w:val="0"/>
          <w:bCs w:val="0"/>
          <w:lang w:val="en-US" w:eastAsia="zh-CN"/>
        </w:rPr>
      </w:pPr>
      <w:r>
        <w:rPr>
          <w:rFonts w:hint="eastAsia" w:cs="宋体"/>
          <w:b w:val="0"/>
          <w:bCs w:val="0"/>
          <w:lang w:val="en-US" w:eastAsia="zh-CN"/>
        </w:rPr>
        <w:t>点击“中药配方颗粒/中药饮片”tab页，列表展示已挂网的“中药配方颗粒/中药饮片”；列表可按“流水号”、“产品名称”、“规格”、“包装”、“生产企业”、“项目名称”、“备案号”、“执行标准”、“产品编码”查询；</w:t>
      </w:r>
    </w:p>
    <w:p>
      <w:pPr>
        <w:pStyle w:val="52"/>
        <w:numPr>
          <w:ilvl w:val="0"/>
          <w:numId w:val="0"/>
        </w:numPr>
        <w:rPr>
          <w:rFonts w:hint="default" w:cs="宋体"/>
          <w:b w:val="0"/>
          <w:bCs w:val="0"/>
          <w:lang w:val="en-US" w:eastAsia="zh-CN"/>
        </w:rPr>
      </w:pPr>
      <w:r>
        <w:drawing>
          <wp:inline distT="0" distB="0" distL="114300" distR="114300">
            <wp:extent cx="5577840" cy="2210435"/>
            <wp:effectExtent l="0" t="0" r="10160" b="1206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2"/>
        <w:numPr>
          <w:ilvl w:val="0"/>
          <w:numId w:val="6"/>
        </w:numPr>
        <w:ind w:firstLine="422"/>
        <w:rPr>
          <w:rFonts w:hint="default" w:cs="宋体"/>
          <w:b w:val="0"/>
          <w:bCs w:val="0"/>
          <w:lang w:val="en-US" w:eastAsia="zh-CN"/>
        </w:rPr>
      </w:pPr>
      <w:r>
        <w:rPr>
          <w:rFonts w:hint="eastAsia" w:cs="宋体"/>
          <w:b w:val="0"/>
          <w:bCs w:val="0"/>
          <w:lang w:val="en-US" w:eastAsia="zh-CN"/>
        </w:rPr>
        <w:t>批量添加到院内目录：选择对应的产品，点击列表右上方【批量添加到院内目录】按钮进入提示页面；提示页面【取消】放弃操作，提示页面【确定】后产品加入到院内目录；</w:t>
      </w:r>
    </w:p>
    <w:p>
      <w:pPr>
        <w:pStyle w:val="52"/>
        <w:numPr>
          <w:ilvl w:val="0"/>
          <w:numId w:val="0"/>
        </w:numPr>
        <w:rPr>
          <w:rFonts w:hint="default" w:cs="宋体"/>
          <w:b w:val="0"/>
          <w:bCs w:val="0"/>
          <w:lang w:val="en-US" w:eastAsia="zh-CN"/>
        </w:rPr>
      </w:pPr>
      <w:r>
        <w:drawing>
          <wp:inline distT="0" distB="0" distL="114300" distR="114300">
            <wp:extent cx="5575300" cy="2024380"/>
            <wp:effectExtent l="0" t="0" r="0" b="762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2"/>
        <w:numPr>
          <w:ilvl w:val="0"/>
          <w:numId w:val="6"/>
        </w:numPr>
        <w:ind w:firstLine="422"/>
        <w:rPr>
          <w:rFonts w:hint="default" w:cs="宋体"/>
          <w:b w:val="0"/>
          <w:bCs w:val="0"/>
          <w:lang w:val="en-US" w:eastAsia="zh-CN"/>
        </w:rPr>
      </w:pPr>
      <w:r>
        <w:rPr>
          <w:rFonts w:hint="eastAsia" w:cs="宋体"/>
          <w:b w:val="0"/>
          <w:bCs w:val="0"/>
          <w:lang w:val="en-US" w:eastAsia="zh-CN"/>
        </w:rPr>
        <w:t>添加到院内目录：选择对应的产品，点击操作栏中【添加到院内目录】按钮进入提示页面；提示页面【取消】放弃操作，提示页面【确定】后产品加入到院内目录；</w:t>
      </w:r>
    </w:p>
    <w:p>
      <w:pPr>
        <w:pStyle w:val="52"/>
        <w:numPr>
          <w:ilvl w:val="0"/>
          <w:numId w:val="0"/>
        </w:numPr>
        <w:rPr>
          <w:rFonts w:hint="default" w:cs="宋体"/>
          <w:b w:val="0"/>
          <w:bCs w:val="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注意：已经添加到院内目录的产品，在</w:t>
      </w:r>
      <w:r>
        <w:rPr>
          <w:rFonts w:hint="eastAsia" w:cs="宋体"/>
          <w:color w:val="FF0000"/>
          <w:lang w:val="en-US" w:eastAsia="zh-CN"/>
        </w:rPr>
        <w:t>目录管理-院内目录管理可以查询到；</w:t>
      </w:r>
    </w:p>
    <w:p>
      <w:pPr>
        <w:pStyle w:val="52"/>
        <w:numPr>
          <w:ilvl w:val="0"/>
          <w:numId w:val="0"/>
        </w:numPr>
      </w:pPr>
      <w:r>
        <w:drawing>
          <wp:inline distT="0" distB="0" distL="114300" distR="114300">
            <wp:extent cx="5571490" cy="2153285"/>
            <wp:effectExtent l="0" t="0" r="3810" b="571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2"/>
        <w:numPr>
          <w:ilvl w:val="0"/>
          <w:numId w:val="0"/>
        </w:numPr>
      </w:pPr>
    </w:p>
    <w:p>
      <w:pPr>
        <w:rPr>
          <w:rFonts w:hint="default"/>
          <w:b/>
          <w:bCs/>
          <w:lang w:val="en-US" w:eastAsia="zh-CN"/>
        </w:rPr>
      </w:pPr>
      <w:r>
        <w:rPr>
          <w:rFonts w:hint="eastAsia" w:cs="宋体"/>
          <w:b/>
          <w:bCs/>
          <w:lang w:val="en-US" w:eastAsia="zh-CN"/>
        </w:rPr>
        <w:t>【药品交易结算：目录管理-院内目录管理】</w:t>
      </w:r>
    </w:p>
    <w:p>
      <w:pPr>
        <w:pStyle w:val="52"/>
        <w:numPr>
          <w:ilvl w:val="0"/>
          <w:numId w:val="7"/>
        </w:numPr>
        <w:ind w:firstLine="422"/>
        <w:rPr>
          <w:rFonts w:hint="default" w:cs="宋体"/>
          <w:b w:val="0"/>
          <w:bCs w:val="0"/>
          <w:lang w:val="en-US" w:eastAsia="zh-CN"/>
        </w:rPr>
      </w:pPr>
      <w:r>
        <w:rPr>
          <w:rFonts w:hint="eastAsia" w:cs="宋体"/>
          <w:b w:val="0"/>
          <w:bCs w:val="0"/>
          <w:lang w:val="en-US" w:eastAsia="zh-CN"/>
        </w:rPr>
        <w:t>点击“中药配方颗粒/中药饮片”tab页，列表展示已经加入院内目录的“中药配方颗粒/中药饮片”；列表可按“流水号”、“产品名称”、“规格”、“包装”、“生产企业”、“项目名称”、“备案号”、“执行标准”、“产品编码”查询；</w:t>
      </w:r>
    </w:p>
    <w:p>
      <w:pPr>
        <w:pStyle w:val="52"/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573395" cy="1807845"/>
            <wp:effectExtent l="0" t="0" r="1905" b="8255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73395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2"/>
        <w:numPr>
          <w:ilvl w:val="0"/>
          <w:numId w:val="7"/>
        </w:numPr>
        <w:ind w:firstLine="422"/>
        <w:rPr>
          <w:rFonts w:hint="default" w:cs="宋体"/>
          <w:b w:val="0"/>
          <w:bCs w:val="0"/>
          <w:lang w:val="en-US" w:eastAsia="zh-CN"/>
        </w:rPr>
      </w:pPr>
      <w:r>
        <w:rPr>
          <w:rFonts w:hint="eastAsia" w:cs="宋体"/>
          <w:b w:val="0"/>
          <w:bCs w:val="0"/>
          <w:lang w:val="en-US" w:eastAsia="zh-CN"/>
        </w:rPr>
        <w:t>添加院内目录：点击【添加院内目录】按钮，进入产品页面，可以单个或批量添加到院内目录；</w:t>
      </w:r>
    </w:p>
    <w:p>
      <w:pPr>
        <w:pStyle w:val="52"/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569585" cy="2358390"/>
            <wp:effectExtent l="0" t="0" r="5715" b="381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69585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注意事项</w:t>
      </w:r>
    </w:p>
    <w:p>
      <w:pPr>
        <w:pStyle w:val="52"/>
        <w:ind w:firstLine="420"/>
        <w:rPr>
          <w:rFonts w:hint="eastAsia" w:cs="宋体"/>
          <w:color w:val="FF0000"/>
          <w:lang w:val="en-US" w:eastAsia="zh-CN"/>
        </w:rPr>
      </w:pPr>
      <w:r>
        <w:rPr>
          <w:rFonts w:hint="eastAsia" w:ascii="宋体" w:hAnsi="宋体" w:eastAsia="宋体" w:cs="宋体"/>
          <w:color w:val="FF0000"/>
        </w:rPr>
        <w:t>*注：</w:t>
      </w:r>
      <w:r>
        <w:rPr>
          <w:rFonts w:hint="eastAsia" w:cs="宋体"/>
          <w:color w:val="FF0000"/>
          <w:lang w:val="en-US" w:eastAsia="zh-CN"/>
        </w:rPr>
        <w:t>在院内目录管理列表中“当前默认配送企业”为空是没有设置配送企业，需要项目维护-中药配方颗粒/中药饮片中议价</w:t>
      </w:r>
    </w:p>
    <w:p>
      <w:pPr>
        <w:pStyle w:val="6"/>
        <w:bidi w:val="0"/>
        <w:rPr>
          <w:rFonts w:hint="default"/>
          <w:lang w:val="en-US" w:eastAsia="zh-CN"/>
        </w:rPr>
      </w:pPr>
      <w:bookmarkStart w:id="10" w:name="_Toc20537"/>
      <w:r>
        <w:rPr>
          <w:rFonts w:hint="eastAsia"/>
          <w:lang w:val="en-US" w:eastAsia="zh-CN"/>
        </w:rPr>
        <w:t>议价管理</w:t>
      </w:r>
      <w:bookmarkEnd w:id="10"/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功能描述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介绍中药饮片议价；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操作权限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产品查询、提交等操作；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操作流程</w:t>
      </w:r>
    </w:p>
    <w:p>
      <w:pPr>
        <w:rPr>
          <w:rFonts w:hint="eastAsia"/>
          <w:b/>
          <w:bCs/>
        </w:rPr>
      </w:pPr>
      <w:r>
        <w:rPr>
          <w:rFonts w:hint="eastAsia" w:cs="宋体"/>
          <w:b/>
          <w:bCs/>
          <w:lang w:val="en-US" w:eastAsia="zh-CN"/>
        </w:rPr>
        <w:t>【药品交易结算：项目维护-中药配方颗粒/中药饮片】</w:t>
      </w:r>
    </w:p>
    <w:p>
      <w:pPr>
        <w:pStyle w:val="52"/>
        <w:numPr>
          <w:ilvl w:val="0"/>
          <w:numId w:val="8"/>
        </w:numPr>
        <w:ind w:firstLine="422"/>
        <w:rPr>
          <w:rFonts w:hint="default" w:cs="宋体"/>
          <w:b w:val="0"/>
          <w:bCs w:val="0"/>
          <w:lang w:val="en-US" w:eastAsia="zh-CN"/>
        </w:rPr>
      </w:pPr>
      <w:r>
        <w:rPr>
          <w:rFonts w:hint="eastAsia" w:cs="宋体"/>
          <w:b w:val="0"/>
          <w:bCs w:val="0"/>
          <w:lang w:val="en-US" w:eastAsia="zh-CN"/>
        </w:rPr>
        <w:t>可按项目查询，列表展示不同项目相关信息；</w:t>
      </w:r>
    </w:p>
    <w:p>
      <w:pPr>
        <w:pStyle w:val="52"/>
        <w:numPr>
          <w:ilvl w:val="0"/>
          <w:numId w:val="0"/>
        </w:numPr>
        <w:rPr>
          <w:rFonts w:hint="default" w:cs="宋体"/>
          <w:b w:val="0"/>
          <w:bCs w:val="0"/>
          <w:lang w:val="en-US" w:eastAsia="zh-CN"/>
        </w:rPr>
      </w:pPr>
      <w:r>
        <w:drawing>
          <wp:inline distT="0" distB="0" distL="114300" distR="114300">
            <wp:extent cx="5571490" cy="1915160"/>
            <wp:effectExtent l="0" t="0" r="3810" b="254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2"/>
        <w:numPr>
          <w:ilvl w:val="0"/>
          <w:numId w:val="8"/>
        </w:numPr>
        <w:ind w:firstLine="422"/>
        <w:rPr>
          <w:rFonts w:hint="default" w:cs="宋体"/>
          <w:b w:val="0"/>
          <w:bCs w:val="0"/>
          <w:lang w:val="en-US" w:eastAsia="zh-CN"/>
        </w:rPr>
      </w:pPr>
      <w:r>
        <w:rPr>
          <w:rFonts w:hint="eastAsia" w:cs="宋体"/>
          <w:b w:val="0"/>
          <w:bCs w:val="0"/>
          <w:lang w:val="en-US" w:eastAsia="zh-CN"/>
        </w:rPr>
        <w:t>查看：点击主页面的【查看】按钮，进入查询详情页面，列表展示已挂网的产品；</w:t>
      </w:r>
    </w:p>
    <w:p>
      <w:pPr>
        <w:pStyle w:val="52"/>
        <w:numPr>
          <w:ilvl w:val="0"/>
          <w:numId w:val="0"/>
        </w:numPr>
        <w:rPr>
          <w:rFonts w:hint="default" w:cs="宋体"/>
          <w:b w:val="0"/>
          <w:bCs w:val="0"/>
          <w:lang w:val="en-US" w:eastAsia="zh-CN"/>
        </w:rPr>
      </w:pPr>
      <w:r>
        <w:drawing>
          <wp:inline distT="0" distB="0" distL="114300" distR="114300">
            <wp:extent cx="5571490" cy="2402840"/>
            <wp:effectExtent l="0" t="0" r="3810" b="10160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2"/>
        <w:numPr>
          <w:ilvl w:val="0"/>
          <w:numId w:val="8"/>
        </w:numPr>
        <w:ind w:firstLine="422"/>
        <w:rPr>
          <w:rFonts w:hint="default" w:cs="宋体"/>
          <w:b w:val="0"/>
          <w:bCs w:val="0"/>
          <w:lang w:val="en-US" w:eastAsia="zh-CN"/>
        </w:rPr>
      </w:pPr>
      <w:r>
        <w:rPr>
          <w:rFonts w:hint="eastAsia" w:cs="宋体"/>
          <w:b w:val="0"/>
          <w:bCs w:val="0"/>
          <w:lang w:val="en-US" w:eastAsia="zh-CN"/>
        </w:rPr>
        <w:t>议价管理：点击【议价管理】，进入已经页面，选择对应的产品，确认“采购价格”后点击【提交】，提交后对应的申报企业进行确认；</w:t>
      </w:r>
    </w:p>
    <w:p>
      <w:pPr>
        <w:pStyle w:val="52"/>
        <w:numPr>
          <w:ilvl w:val="0"/>
          <w:numId w:val="0"/>
        </w:numPr>
        <w:rPr>
          <w:rFonts w:hint="default" w:cs="宋体"/>
          <w:b w:val="0"/>
          <w:bCs w:val="0"/>
          <w:color w:val="FF0000"/>
          <w:lang w:val="en-US" w:eastAsia="zh-CN"/>
        </w:rPr>
      </w:pPr>
      <w:r>
        <w:rPr>
          <w:rFonts w:hint="eastAsia" w:cs="宋体"/>
          <w:b w:val="0"/>
          <w:bCs w:val="0"/>
          <w:color w:val="FF0000"/>
          <w:lang w:val="en-US" w:eastAsia="zh-CN"/>
        </w:rPr>
        <w:t>注意：请注意页面红色的提示信息；</w:t>
      </w:r>
    </w:p>
    <w:p>
      <w:pPr>
        <w:pStyle w:val="52"/>
        <w:numPr>
          <w:ilvl w:val="0"/>
          <w:numId w:val="0"/>
        </w:numPr>
        <w:rPr>
          <w:rFonts w:hint="default" w:cs="宋体"/>
          <w:b w:val="0"/>
          <w:bCs w:val="0"/>
          <w:lang w:val="en-US" w:eastAsia="zh-CN"/>
        </w:rPr>
      </w:pPr>
      <w:r>
        <w:drawing>
          <wp:inline distT="0" distB="0" distL="114300" distR="114300">
            <wp:extent cx="5575300" cy="2303145"/>
            <wp:effectExtent l="0" t="0" r="0" b="8255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注意事项</w:t>
      </w:r>
    </w:p>
    <w:p>
      <w:pPr>
        <w:pStyle w:val="52"/>
        <w:ind w:firstLine="420"/>
        <w:rPr>
          <w:rFonts w:hint="eastAsia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*注：</w:t>
      </w:r>
      <w:r>
        <w:rPr>
          <w:rFonts w:hint="eastAsia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无</w:t>
      </w:r>
    </w:p>
    <w:p>
      <w:pPr>
        <w:pStyle w:val="6"/>
        <w:bidi w:val="0"/>
        <w:rPr>
          <w:rFonts w:hint="default"/>
          <w:lang w:val="en-US" w:eastAsia="zh-CN"/>
        </w:rPr>
      </w:pPr>
      <w:bookmarkStart w:id="11" w:name="_Toc13727"/>
      <w:r>
        <w:rPr>
          <w:rFonts w:hint="eastAsia"/>
          <w:lang w:val="en-US" w:eastAsia="zh-CN"/>
        </w:rPr>
        <w:t>采购计划管理</w:t>
      </w:r>
      <w:bookmarkEnd w:id="11"/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功能描述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介绍中药饮片采购流程；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操作权限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创建采购计划、采购计划审核等操作；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操作流程</w:t>
      </w:r>
    </w:p>
    <w:p>
      <w:pPr>
        <w:rPr>
          <w:rFonts w:hint="eastAsia"/>
          <w:b/>
          <w:bCs/>
        </w:rPr>
      </w:pPr>
      <w:r>
        <w:rPr>
          <w:rFonts w:hint="eastAsia" w:cs="宋体"/>
          <w:b/>
          <w:bCs/>
          <w:lang w:val="en-US" w:eastAsia="zh-CN"/>
        </w:rPr>
        <w:t>【药品交易结算：采购计划管理-创建采购计划】</w:t>
      </w:r>
    </w:p>
    <w:p>
      <w:pPr>
        <w:pStyle w:val="52"/>
        <w:numPr>
          <w:ilvl w:val="0"/>
          <w:numId w:val="9"/>
        </w:numPr>
        <w:ind w:firstLine="422"/>
        <w:rPr>
          <w:rFonts w:hint="default" w:cs="宋体"/>
          <w:b w:val="0"/>
          <w:bCs w:val="0"/>
          <w:lang w:val="en-US" w:eastAsia="zh-CN"/>
        </w:rPr>
      </w:pPr>
      <w:r>
        <w:rPr>
          <w:rFonts w:hint="eastAsia" w:cs="宋体"/>
          <w:b w:val="0"/>
          <w:bCs w:val="0"/>
          <w:lang w:val="en-US" w:eastAsia="zh-CN"/>
        </w:rPr>
        <w:t>点击“中药配方颗粒/中药饮片”tab页，列表展示已经加入院内目录且有配送企业的“中药配方颗粒/中药饮片”产品；列表可按“流水号”、“产品名称”、“规格”、“包装”、“生产企业”、“项目名称”、“备案号”、“执行标准”等查询；</w:t>
      </w:r>
    </w:p>
    <w:p>
      <w:pPr>
        <w:pStyle w:val="52"/>
        <w:numPr>
          <w:ilvl w:val="0"/>
          <w:numId w:val="0"/>
        </w:numPr>
      </w:pPr>
      <w:r>
        <w:drawing>
          <wp:inline distT="0" distB="0" distL="114300" distR="114300">
            <wp:extent cx="5571490" cy="2449195"/>
            <wp:effectExtent l="0" t="0" r="3810" b="1905"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2"/>
        <w:numPr>
          <w:ilvl w:val="0"/>
          <w:numId w:val="9"/>
        </w:numPr>
        <w:ind w:firstLine="422"/>
        <w:rPr>
          <w:rFonts w:hint="default" w:cs="宋体"/>
          <w:b w:val="0"/>
          <w:bCs w:val="0"/>
          <w:lang w:val="en-US" w:eastAsia="zh-CN"/>
        </w:rPr>
      </w:pPr>
      <w:r>
        <w:rPr>
          <w:rFonts w:hint="eastAsia" w:cs="宋体"/>
          <w:b w:val="0"/>
          <w:bCs w:val="0"/>
          <w:lang w:val="en-US" w:eastAsia="zh-CN"/>
        </w:rPr>
        <w:t>导出：点击【导出】按钮，数据会在在【任务日志】中展示，下载对应的数据；</w:t>
      </w:r>
    </w:p>
    <w:p>
      <w:pPr>
        <w:pStyle w:val="52"/>
        <w:numPr>
          <w:ilvl w:val="0"/>
          <w:numId w:val="0"/>
        </w:numPr>
      </w:pPr>
      <w:r>
        <w:drawing>
          <wp:inline distT="0" distB="0" distL="114300" distR="114300">
            <wp:extent cx="5569585" cy="2197735"/>
            <wp:effectExtent l="0" t="0" r="5715" b="12065"/>
            <wp:docPr id="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69585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2"/>
        <w:numPr>
          <w:ilvl w:val="0"/>
          <w:numId w:val="9"/>
        </w:numPr>
        <w:ind w:firstLine="420"/>
        <w:rPr>
          <w:rFonts w:hint="eastAsia"/>
          <w:lang w:val="en-US" w:eastAsia="zh-CN"/>
        </w:rPr>
      </w:pPr>
      <w:r>
        <w:rPr>
          <w:rFonts w:hint="eastAsia" w:cs="宋体"/>
          <w:lang w:val="en-US" w:eastAsia="zh-CN"/>
        </w:rPr>
        <w:t>填写完列表的采购数量，点击操作栏中的【加入】，再点击【制单完成】，进入编辑采购计划页面；</w:t>
      </w:r>
    </w:p>
    <w:p>
      <w:pPr>
        <w:pStyle w:val="52"/>
        <w:numPr>
          <w:ilvl w:val="0"/>
          <w:numId w:val="0"/>
        </w:numPr>
        <w:rPr>
          <w:rFonts w:hint="default"/>
          <w:color w:val="FF0000"/>
          <w:lang w:val="en-US" w:eastAsia="zh-CN"/>
        </w:rPr>
      </w:pPr>
      <w:r>
        <w:rPr>
          <w:rFonts w:hint="eastAsia" w:cs="宋体"/>
          <w:color w:val="FF0000"/>
          <w:lang w:val="en-US" w:eastAsia="zh-CN"/>
        </w:rPr>
        <w:t>注意：不同项目需要分开制单，不能在同一采购单中；</w:t>
      </w:r>
    </w:p>
    <w:p>
      <w:pPr>
        <w:pStyle w:val="52"/>
        <w:numPr>
          <w:ilvl w:val="0"/>
          <w:numId w:val="0"/>
        </w:numPr>
      </w:pPr>
      <w:r>
        <w:drawing>
          <wp:inline distT="0" distB="0" distL="114300" distR="114300">
            <wp:extent cx="5571490" cy="2440305"/>
            <wp:effectExtent l="0" t="0" r="3810" b="10795"/>
            <wp:docPr id="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创建采购计划-加入采购单</w:t>
      </w:r>
    </w:p>
    <w:p>
      <w:pPr>
        <w:pStyle w:val="52"/>
        <w:numPr>
          <w:ilvl w:val="0"/>
          <w:numId w:val="9"/>
        </w:numPr>
        <w:ind w:firstLine="420"/>
        <w:rPr>
          <w:rFonts w:hint="eastAsia"/>
          <w:lang w:val="en-US" w:eastAsia="zh-CN"/>
        </w:rPr>
      </w:pPr>
      <w:r>
        <w:rPr>
          <w:rFonts w:hint="eastAsia" w:cs="宋体"/>
          <w:lang w:val="en-US" w:eastAsia="zh-CN"/>
        </w:rPr>
        <w:t>编辑采购计划-添加：点击【添加】，进入添加产品页面，选择对应产品加入采购计划；</w:t>
      </w:r>
    </w:p>
    <w:p>
      <w:pPr>
        <w:pStyle w:val="52"/>
        <w:numPr>
          <w:ilvl w:val="0"/>
          <w:numId w:val="0"/>
        </w:numPr>
      </w:pPr>
      <w:r>
        <w:drawing>
          <wp:inline distT="0" distB="0" distL="114300" distR="114300">
            <wp:extent cx="5571490" cy="2463800"/>
            <wp:effectExtent l="0" t="0" r="3810" b="0"/>
            <wp:docPr id="5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编辑采购计划</w:t>
      </w:r>
    </w:p>
    <w:p>
      <w:pPr>
        <w:pStyle w:val="25"/>
        <w:bidi w:val="0"/>
        <w:jc w:val="both"/>
      </w:pPr>
      <w:r>
        <w:drawing>
          <wp:inline distT="0" distB="0" distL="114300" distR="114300">
            <wp:extent cx="5578475" cy="2197735"/>
            <wp:effectExtent l="0" t="0" r="9525" b="12065"/>
            <wp:docPr id="5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78475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编辑采购计划-添加产品</w:t>
      </w:r>
    </w:p>
    <w:p>
      <w:pPr>
        <w:pStyle w:val="52"/>
        <w:numPr>
          <w:ilvl w:val="0"/>
          <w:numId w:val="9"/>
        </w:numPr>
        <w:ind w:firstLine="420"/>
        <w:rPr>
          <w:rFonts w:hint="eastAsia"/>
          <w:lang w:val="en-US" w:eastAsia="zh-CN"/>
        </w:rPr>
      </w:pPr>
      <w:r>
        <w:rPr>
          <w:rFonts w:hint="eastAsia" w:cs="宋体"/>
          <w:lang w:val="en-US" w:eastAsia="zh-CN"/>
        </w:rPr>
        <w:t>编辑采购计划-历史单加载：点击【历史单加载】，选择对应历史单，点击【加载】，会清空当前列表数据，加载对应历史采购明细；</w:t>
      </w:r>
    </w:p>
    <w:p>
      <w:pPr>
        <w:pStyle w:val="52"/>
        <w:numPr>
          <w:ilvl w:val="0"/>
          <w:numId w:val="0"/>
        </w:numPr>
      </w:pPr>
      <w:r>
        <w:drawing>
          <wp:inline distT="0" distB="0" distL="114300" distR="114300">
            <wp:extent cx="5571490" cy="2188210"/>
            <wp:effectExtent l="0" t="0" r="3810" b="8890"/>
            <wp:docPr id="5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bidi w:val="0"/>
        <w:jc w:val="center"/>
      </w:pPr>
      <w:r>
        <w:rPr>
          <w:rFonts w:hint="eastAsia"/>
          <w:lang w:val="en-US" w:eastAsia="zh-CN"/>
        </w:rPr>
        <w:t>编辑采购计划-历史单加载</w:t>
      </w:r>
    </w:p>
    <w:p>
      <w:pPr>
        <w:pStyle w:val="52"/>
        <w:numPr>
          <w:ilvl w:val="0"/>
          <w:numId w:val="9"/>
        </w:numPr>
        <w:ind w:firstLine="420"/>
        <w:rPr>
          <w:rFonts w:hint="eastAsia"/>
          <w:lang w:val="en-US" w:eastAsia="zh-CN"/>
        </w:rPr>
      </w:pPr>
      <w:r>
        <w:rPr>
          <w:rFonts w:hint="eastAsia" w:cs="宋体"/>
          <w:lang w:val="en-US" w:eastAsia="zh-CN"/>
        </w:rPr>
        <w:t>编辑采购计划-批量删除：选择产品，点击【批量删除】，删除不需要的产品；</w:t>
      </w:r>
    </w:p>
    <w:p>
      <w:pPr>
        <w:pStyle w:val="52"/>
        <w:numPr>
          <w:ilvl w:val="0"/>
          <w:numId w:val="0"/>
        </w:numPr>
      </w:pPr>
      <w:r>
        <w:drawing>
          <wp:inline distT="0" distB="0" distL="114300" distR="114300">
            <wp:extent cx="5573395" cy="2202180"/>
            <wp:effectExtent l="0" t="0" r="1905" b="7620"/>
            <wp:docPr id="5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73395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bidi w:val="0"/>
        <w:jc w:val="center"/>
        <w:rPr>
          <w:rFonts w:hint="default"/>
          <w:lang w:val="en-US"/>
        </w:rPr>
      </w:pPr>
      <w:r>
        <w:rPr>
          <w:rFonts w:hint="eastAsia"/>
          <w:lang w:val="en-US" w:eastAsia="zh-CN"/>
        </w:rPr>
        <w:t>编辑采购计划-批量删除</w:t>
      </w:r>
    </w:p>
    <w:p>
      <w:pPr>
        <w:pStyle w:val="52"/>
        <w:numPr>
          <w:ilvl w:val="0"/>
          <w:numId w:val="9"/>
        </w:numPr>
        <w:ind w:firstLine="420"/>
        <w:rPr>
          <w:rFonts w:hint="eastAsia"/>
          <w:lang w:val="en-US" w:eastAsia="zh-CN"/>
        </w:rPr>
      </w:pPr>
      <w:r>
        <w:rPr>
          <w:rFonts w:hint="eastAsia" w:cs="宋体"/>
          <w:lang w:val="en-US" w:eastAsia="zh-CN"/>
        </w:rPr>
        <w:t>编辑采购计划-删除：选择产品，点击【删除】，删除不需要的产品；</w:t>
      </w:r>
    </w:p>
    <w:p>
      <w:pPr>
        <w:pStyle w:val="52"/>
        <w:numPr>
          <w:ilvl w:val="0"/>
          <w:numId w:val="0"/>
        </w:numPr>
      </w:pPr>
      <w:r>
        <w:drawing>
          <wp:inline distT="0" distB="0" distL="114300" distR="114300">
            <wp:extent cx="5574665" cy="2412365"/>
            <wp:effectExtent l="0" t="0" r="635" b="635"/>
            <wp:docPr id="5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74665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编辑采购计划-删除</w:t>
      </w:r>
    </w:p>
    <w:p>
      <w:pPr>
        <w:pStyle w:val="52"/>
        <w:numPr>
          <w:ilvl w:val="0"/>
          <w:numId w:val="9"/>
        </w:numPr>
        <w:ind w:firstLine="420"/>
        <w:rPr>
          <w:rFonts w:hint="eastAsia"/>
          <w:lang w:val="en-US" w:eastAsia="zh-CN"/>
        </w:rPr>
      </w:pPr>
      <w:r>
        <w:rPr>
          <w:rFonts w:hint="eastAsia" w:cs="宋体"/>
          <w:lang w:val="en-US" w:eastAsia="zh-CN"/>
        </w:rPr>
        <w:t>核对无误后点击【生成采购计划】或【提交】；</w:t>
      </w:r>
    </w:p>
    <w:p>
      <w:pPr>
        <w:pStyle w:val="25"/>
        <w:bidi w:val="0"/>
        <w:jc w:val="both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</w:t>
      </w:r>
    </w:p>
    <w:p>
      <w:pPr>
        <w:pStyle w:val="25"/>
        <w:bidi w:val="0"/>
        <w:ind w:firstLine="360" w:firstLineChars="200"/>
        <w:jc w:val="both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1、点击【生成采购计划】，数据可以填写备注信息，保存后，数据到“采购计划管理”待送审tab页，可以编辑或作废操作；</w:t>
      </w:r>
    </w:p>
    <w:p>
      <w:pPr>
        <w:pStyle w:val="25"/>
        <w:bidi w:val="0"/>
        <w:ind w:firstLine="360" w:firstLineChars="200"/>
        <w:jc w:val="both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2、点击【提交】，填写审核人信息，数据到“采购计划管理-采购计划审核”中，进行审核；</w:t>
      </w:r>
    </w:p>
    <w:p>
      <w:pPr>
        <w:pStyle w:val="25"/>
        <w:bidi w:val="0"/>
        <w:jc w:val="both"/>
      </w:pPr>
      <w:r>
        <w:drawing>
          <wp:inline distT="0" distB="0" distL="114300" distR="114300">
            <wp:extent cx="5574665" cy="2324100"/>
            <wp:effectExtent l="0" t="0" r="635" b="0"/>
            <wp:docPr id="5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7466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创建采购计划-生成采购计划</w:t>
      </w:r>
    </w:p>
    <w:p>
      <w:pPr>
        <w:pStyle w:val="25"/>
        <w:bidi w:val="0"/>
        <w:jc w:val="both"/>
      </w:pPr>
      <w:r>
        <w:drawing>
          <wp:inline distT="0" distB="0" distL="114300" distR="114300">
            <wp:extent cx="5569585" cy="2474595"/>
            <wp:effectExtent l="0" t="0" r="5715" b="1905"/>
            <wp:docPr id="5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69585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创建采购计划-提交</w:t>
      </w:r>
    </w:p>
    <w:p>
      <w:pPr>
        <w:rPr>
          <w:rFonts w:hint="eastAsia"/>
          <w:b/>
          <w:bCs/>
        </w:rPr>
      </w:pPr>
      <w:r>
        <w:rPr>
          <w:rFonts w:hint="eastAsia" w:cs="宋体"/>
          <w:b/>
          <w:bCs/>
          <w:lang w:val="en-US" w:eastAsia="zh-CN"/>
        </w:rPr>
        <w:t>【药品交易结算：采购计划管理-采购计划管理】</w:t>
      </w:r>
    </w:p>
    <w:p>
      <w:pPr>
        <w:pStyle w:val="52"/>
        <w:numPr>
          <w:ilvl w:val="0"/>
          <w:numId w:val="10"/>
        </w:numPr>
        <w:ind w:firstLine="422"/>
        <w:rPr>
          <w:rFonts w:hint="default" w:cs="宋体"/>
          <w:b w:val="0"/>
          <w:bCs w:val="0"/>
          <w:lang w:val="en-US" w:eastAsia="zh-CN"/>
        </w:rPr>
      </w:pPr>
      <w:r>
        <w:rPr>
          <w:rFonts w:hint="eastAsia" w:cs="宋体"/>
          <w:b w:val="0"/>
          <w:bCs w:val="0"/>
          <w:lang w:val="en-US" w:eastAsia="zh-CN"/>
        </w:rPr>
        <w:t>点击“待送审”tab页，列表展示“待送审”的数据，可以编辑、作废、批量送审和批量作废操作；</w:t>
      </w:r>
    </w:p>
    <w:p>
      <w:pPr>
        <w:pStyle w:val="25"/>
        <w:bidi w:val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571490" cy="1671320"/>
            <wp:effectExtent l="0" t="0" r="3810" b="5080"/>
            <wp:docPr id="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采购计划管理-待送审</w:t>
      </w:r>
    </w:p>
    <w:p>
      <w:pPr>
        <w:pStyle w:val="52"/>
        <w:numPr>
          <w:ilvl w:val="0"/>
          <w:numId w:val="10"/>
        </w:numPr>
        <w:ind w:firstLine="422"/>
        <w:rPr>
          <w:rFonts w:hint="default" w:cs="宋体"/>
          <w:b w:val="0"/>
          <w:bCs w:val="0"/>
          <w:lang w:val="en-US" w:eastAsia="zh-CN"/>
        </w:rPr>
      </w:pPr>
      <w:r>
        <w:rPr>
          <w:rFonts w:hint="eastAsia" w:cs="宋体"/>
          <w:b w:val="0"/>
          <w:bCs w:val="0"/>
          <w:lang w:val="en-US" w:eastAsia="zh-CN"/>
        </w:rPr>
        <w:t>点击“待审核”tab页，列表展示“待审核”的数据，可以查询详情和撤回到待送审列表中；</w:t>
      </w:r>
    </w:p>
    <w:p>
      <w:pPr>
        <w:pStyle w:val="25"/>
        <w:bidi w:val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569585" cy="1699260"/>
            <wp:effectExtent l="0" t="0" r="5715" b="2540"/>
            <wp:docPr id="6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6958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采购计划管理-待审核</w:t>
      </w:r>
    </w:p>
    <w:p>
      <w:pPr>
        <w:pStyle w:val="52"/>
        <w:numPr>
          <w:ilvl w:val="0"/>
          <w:numId w:val="10"/>
        </w:numPr>
        <w:ind w:firstLine="422"/>
        <w:rPr>
          <w:rFonts w:hint="default" w:cs="宋体"/>
          <w:b w:val="0"/>
          <w:bCs w:val="0"/>
          <w:lang w:val="en-US" w:eastAsia="zh-CN"/>
        </w:rPr>
      </w:pPr>
      <w:r>
        <w:rPr>
          <w:rFonts w:hint="eastAsia" w:cs="宋体"/>
          <w:b w:val="0"/>
          <w:bCs w:val="0"/>
          <w:lang w:val="en-US" w:eastAsia="zh-CN"/>
        </w:rPr>
        <w:t>点击“被退回”tab页，列表展示“审核不通过”的数据，可以批量送审、批量作废、编辑和作废；</w:t>
      </w:r>
    </w:p>
    <w:p>
      <w:pPr>
        <w:pStyle w:val="25"/>
        <w:bidi w:val="0"/>
        <w:jc w:val="center"/>
        <w:rPr>
          <w:rFonts w:hint="default"/>
          <w:lang w:val="en-US" w:eastAsia="zh-CN"/>
        </w:rPr>
      </w:pPr>
    </w:p>
    <w:p>
      <w:pPr>
        <w:pStyle w:val="25"/>
        <w:bidi w:val="0"/>
        <w:jc w:val="center"/>
      </w:pPr>
      <w:r>
        <w:drawing>
          <wp:inline distT="0" distB="0" distL="114300" distR="114300">
            <wp:extent cx="5573395" cy="1734820"/>
            <wp:effectExtent l="0" t="0" r="1905" b="5080"/>
            <wp:docPr id="6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73395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采购计划管理-被退回</w:t>
      </w:r>
    </w:p>
    <w:p>
      <w:pPr>
        <w:pStyle w:val="52"/>
        <w:numPr>
          <w:ilvl w:val="0"/>
          <w:numId w:val="10"/>
        </w:numPr>
        <w:ind w:firstLine="422"/>
        <w:rPr>
          <w:rFonts w:hint="default" w:cs="宋体"/>
          <w:b w:val="0"/>
          <w:bCs w:val="0"/>
          <w:lang w:val="en-US" w:eastAsia="zh-CN"/>
        </w:rPr>
      </w:pPr>
      <w:r>
        <w:rPr>
          <w:rFonts w:hint="eastAsia" w:cs="宋体"/>
          <w:b w:val="0"/>
          <w:bCs w:val="0"/>
          <w:lang w:val="en-US" w:eastAsia="zh-CN"/>
        </w:rPr>
        <w:t>点击“待发送”tab页，列表展示“审核通过”的数据，可以批量发送、批量撤回；</w:t>
      </w:r>
    </w:p>
    <w:p>
      <w:pPr>
        <w:pStyle w:val="25"/>
        <w:bidi w:val="0"/>
        <w:jc w:val="center"/>
        <w:rPr>
          <w:rFonts w:hint="default"/>
          <w:lang w:val="en-US" w:eastAsia="zh-CN"/>
        </w:rPr>
      </w:pPr>
    </w:p>
    <w:p>
      <w:pPr>
        <w:pStyle w:val="25"/>
        <w:bidi w:val="0"/>
        <w:jc w:val="center"/>
      </w:pPr>
      <w:r>
        <w:drawing>
          <wp:inline distT="0" distB="0" distL="114300" distR="114300">
            <wp:extent cx="5571490" cy="1569720"/>
            <wp:effectExtent l="0" t="0" r="3810" b="5080"/>
            <wp:docPr id="6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采购计划管理-待发送</w:t>
      </w:r>
    </w:p>
    <w:p>
      <w:pPr>
        <w:pStyle w:val="52"/>
        <w:numPr>
          <w:ilvl w:val="0"/>
          <w:numId w:val="10"/>
        </w:numPr>
        <w:ind w:firstLine="422"/>
        <w:rPr>
          <w:rFonts w:hint="default" w:cs="宋体"/>
          <w:b w:val="0"/>
          <w:bCs w:val="0"/>
          <w:lang w:val="en-US" w:eastAsia="zh-CN"/>
        </w:rPr>
      </w:pPr>
      <w:r>
        <w:rPr>
          <w:rFonts w:hint="eastAsia" w:cs="宋体"/>
          <w:b w:val="0"/>
          <w:bCs w:val="0"/>
          <w:lang w:val="en-US" w:eastAsia="zh-CN"/>
        </w:rPr>
        <w:t>点击“已发送”tab页，列表展示“已发送”的数据，可以撤回到“已作废”tab页；</w:t>
      </w:r>
    </w:p>
    <w:p>
      <w:pPr>
        <w:pStyle w:val="25"/>
        <w:bidi w:val="0"/>
        <w:jc w:val="center"/>
        <w:rPr>
          <w:rFonts w:hint="default"/>
          <w:lang w:val="en-US" w:eastAsia="zh-CN"/>
        </w:rPr>
      </w:pPr>
    </w:p>
    <w:p>
      <w:pPr>
        <w:pStyle w:val="25"/>
        <w:bidi w:val="0"/>
        <w:jc w:val="center"/>
      </w:pPr>
      <w:r>
        <w:drawing>
          <wp:inline distT="0" distB="0" distL="114300" distR="114300">
            <wp:extent cx="5569585" cy="2044700"/>
            <wp:effectExtent l="0" t="0" r="5715" b="0"/>
            <wp:docPr id="6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6958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采购计划管理-已发送</w:t>
      </w:r>
    </w:p>
    <w:p>
      <w:pPr>
        <w:pStyle w:val="52"/>
        <w:numPr>
          <w:ilvl w:val="0"/>
          <w:numId w:val="10"/>
        </w:numPr>
        <w:ind w:firstLine="422"/>
        <w:rPr>
          <w:rFonts w:hint="default" w:cs="宋体"/>
          <w:b w:val="0"/>
          <w:bCs w:val="0"/>
          <w:lang w:val="en-US" w:eastAsia="zh-CN"/>
        </w:rPr>
      </w:pPr>
      <w:r>
        <w:rPr>
          <w:rFonts w:hint="eastAsia" w:cs="宋体"/>
          <w:b w:val="0"/>
          <w:bCs w:val="0"/>
          <w:lang w:val="en-US" w:eastAsia="zh-CN"/>
        </w:rPr>
        <w:t>点击“已作废”tab页，列表展示“已作废”的数据；</w:t>
      </w:r>
    </w:p>
    <w:p>
      <w:pPr>
        <w:pStyle w:val="25"/>
        <w:bidi w:val="0"/>
        <w:jc w:val="center"/>
      </w:pPr>
      <w:r>
        <w:drawing>
          <wp:inline distT="0" distB="0" distL="114300" distR="114300">
            <wp:extent cx="5577840" cy="1779905"/>
            <wp:effectExtent l="0" t="0" r="10160" b="10795"/>
            <wp:docPr id="7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采购计划管理-已作废</w:t>
      </w:r>
    </w:p>
    <w:p>
      <w:pPr>
        <w:rPr>
          <w:rFonts w:hint="eastAsia"/>
          <w:b/>
          <w:bCs/>
        </w:rPr>
      </w:pPr>
      <w:r>
        <w:rPr>
          <w:rFonts w:hint="eastAsia" w:cs="宋体"/>
          <w:b/>
          <w:bCs/>
          <w:lang w:val="en-US" w:eastAsia="zh-CN"/>
        </w:rPr>
        <w:t>【药品交易结算：采购计划管理-采购计划审核】</w:t>
      </w:r>
    </w:p>
    <w:p>
      <w:pPr>
        <w:pStyle w:val="52"/>
        <w:numPr>
          <w:ilvl w:val="0"/>
          <w:numId w:val="11"/>
        </w:numPr>
        <w:ind w:firstLine="42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cs="宋体"/>
          <w:lang w:val="en-US" w:eastAsia="zh-CN"/>
        </w:rPr>
        <w:t>点击“待审核”tab页，页面展示待审核数据；点击【审核】进入审核页面；</w:t>
      </w:r>
    </w:p>
    <w:p>
      <w:pPr>
        <w:pStyle w:val="52"/>
        <w:numPr>
          <w:ilvl w:val="0"/>
          <w:numId w:val="0"/>
        </w:numPr>
        <w:ind w:firstLine="840" w:firstLineChars="400"/>
        <w:rPr>
          <w:rFonts w:hint="eastAsia" w:cs="宋体"/>
          <w:lang w:val="en-US" w:eastAsia="zh-CN"/>
        </w:rPr>
      </w:pPr>
      <w:r>
        <w:rPr>
          <w:rFonts w:hint="eastAsia" w:cs="宋体"/>
          <w:lang w:val="en-US" w:eastAsia="zh-CN"/>
        </w:rPr>
        <w:t>1.1点击【审核并发送】：数据在“已发送”tab页可以查询到；</w:t>
      </w:r>
    </w:p>
    <w:p>
      <w:pPr>
        <w:pStyle w:val="52"/>
        <w:numPr>
          <w:ilvl w:val="0"/>
          <w:numId w:val="0"/>
        </w:numPr>
        <w:ind w:firstLine="840" w:firstLineChars="400"/>
        <w:rPr>
          <w:rFonts w:hint="eastAsia" w:cs="宋体"/>
          <w:lang w:val="en-US" w:eastAsia="zh-CN"/>
        </w:rPr>
      </w:pPr>
      <w:r>
        <w:rPr>
          <w:rFonts w:hint="eastAsia" w:cs="宋体"/>
          <w:lang w:val="en-US" w:eastAsia="zh-CN"/>
        </w:rPr>
        <w:t>1.2点击【审核不通过】：数据被退回到“采购计划管理-被退回”tab页；</w:t>
      </w:r>
    </w:p>
    <w:p>
      <w:pPr>
        <w:pStyle w:val="52"/>
        <w:numPr>
          <w:ilvl w:val="0"/>
          <w:numId w:val="0"/>
        </w:numPr>
        <w:ind w:firstLine="840" w:firstLineChars="4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cs="宋体"/>
          <w:lang w:val="en-US" w:eastAsia="zh-CN"/>
        </w:rPr>
        <w:t>1.3点击【审核通过】：数据在“已审核”tab页可以查询到；</w:t>
      </w:r>
    </w:p>
    <w:p>
      <w:pPr>
        <w:pStyle w:val="25"/>
        <w:jc w:val="center"/>
        <w:rPr>
          <w:rFonts w:hint="eastAsia"/>
        </w:rPr>
      </w:pPr>
      <w:r>
        <w:drawing>
          <wp:inline distT="0" distB="0" distL="114300" distR="114300">
            <wp:extent cx="5571490" cy="1628140"/>
            <wp:effectExtent l="0" t="0" r="3810" b="10160"/>
            <wp:docPr id="7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  <w:rPr>
          <w:rFonts w:hint="default" w:cs="宋体"/>
          <w:lang w:val="en-US" w:eastAsia="zh-CN"/>
        </w:rPr>
      </w:pPr>
      <w:r>
        <w:rPr>
          <w:rFonts w:hint="eastAsia" w:cs="宋体"/>
          <w:lang w:val="en-US" w:eastAsia="zh-CN"/>
        </w:rPr>
        <w:t>采购计划审核</w:t>
      </w:r>
      <w:r>
        <w:rPr>
          <w:rFonts w:hint="eastAsia" w:ascii="宋体" w:hAnsi="宋体" w:eastAsia="宋体" w:cs="宋体"/>
          <w:lang w:val="en-US" w:eastAsia="zh-CN"/>
        </w:rPr>
        <w:t>-</w:t>
      </w:r>
      <w:r>
        <w:rPr>
          <w:rFonts w:hint="eastAsia" w:cs="宋体"/>
          <w:lang w:val="en-US" w:eastAsia="zh-CN"/>
        </w:rPr>
        <w:t>待审核</w:t>
      </w:r>
    </w:p>
    <w:p>
      <w:pPr>
        <w:pStyle w:val="25"/>
        <w:jc w:val="center"/>
      </w:pPr>
      <w:r>
        <w:drawing>
          <wp:inline distT="0" distB="0" distL="114300" distR="114300">
            <wp:extent cx="5575300" cy="2433955"/>
            <wp:effectExtent l="0" t="0" r="0" b="4445"/>
            <wp:docPr id="7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  <w:rPr>
          <w:rFonts w:hint="default" w:cs="宋体"/>
          <w:lang w:val="en-US" w:eastAsia="zh-CN"/>
        </w:rPr>
      </w:pPr>
      <w:r>
        <w:rPr>
          <w:rFonts w:hint="eastAsia" w:cs="宋体"/>
          <w:lang w:val="en-US" w:eastAsia="zh-CN"/>
        </w:rPr>
        <w:t>采购计划审核</w:t>
      </w:r>
      <w:r>
        <w:rPr>
          <w:rFonts w:hint="eastAsia" w:ascii="宋体" w:hAnsi="宋体" w:eastAsia="宋体" w:cs="宋体"/>
          <w:lang w:val="en-US" w:eastAsia="zh-CN"/>
        </w:rPr>
        <w:t>-</w:t>
      </w:r>
      <w:r>
        <w:rPr>
          <w:rFonts w:hint="eastAsia" w:cs="宋体"/>
          <w:lang w:val="en-US" w:eastAsia="zh-CN"/>
        </w:rPr>
        <w:t>待审核详情页</w:t>
      </w:r>
    </w:p>
    <w:p>
      <w:pPr>
        <w:pStyle w:val="25"/>
        <w:jc w:val="center"/>
      </w:pPr>
    </w:p>
    <w:p>
      <w:pPr>
        <w:pStyle w:val="52"/>
        <w:numPr>
          <w:ilvl w:val="0"/>
          <w:numId w:val="11"/>
        </w:numPr>
        <w:ind w:firstLine="42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cs="宋体"/>
          <w:lang w:val="en-US" w:eastAsia="zh-CN"/>
        </w:rPr>
        <w:t>点击“已审核”tab页，页面展示已审核数据；</w:t>
      </w:r>
    </w:p>
    <w:p>
      <w:pPr>
        <w:pStyle w:val="52"/>
        <w:numPr>
          <w:ilvl w:val="0"/>
          <w:numId w:val="0"/>
        </w:numPr>
        <w:rPr>
          <w:rFonts w:hint="default" w:cs="宋体"/>
          <w:lang w:val="en-US" w:eastAsia="zh-CN"/>
        </w:rPr>
      </w:pPr>
      <w:r>
        <w:rPr>
          <w:rFonts w:hint="eastAsia" w:cs="宋体"/>
          <w:lang w:val="en-US" w:eastAsia="zh-CN"/>
        </w:rPr>
        <w:t xml:space="preserve">        2.1点击【撤销审核】：数据批量撤销到“待审核”tab页；</w:t>
      </w:r>
    </w:p>
    <w:p>
      <w:pPr>
        <w:pStyle w:val="52"/>
        <w:numPr>
          <w:ilvl w:val="0"/>
          <w:numId w:val="0"/>
        </w:numPr>
        <w:ind w:firstLine="840" w:firstLineChars="400"/>
        <w:rPr>
          <w:rFonts w:hint="default" w:cs="宋体"/>
          <w:lang w:val="en-US" w:eastAsia="zh-CN"/>
        </w:rPr>
      </w:pPr>
      <w:r>
        <w:rPr>
          <w:rFonts w:hint="eastAsia" w:cs="宋体"/>
          <w:lang w:val="en-US" w:eastAsia="zh-CN"/>
        </w:rPr>
        <w:t>2.2点击【发送】：进入发送采购计划详情页，对单个采购单进行【发送】或【撤销审核】；</w:t>
      </w:r>
    </w:p>
    <w:p>
      <w:pPr>
        <w:pStyle w:val="52"/>
        <w:numPr>
          <w:ilvl w:val="0"/>
          <w:numId w:val="0"/>
        </w:numPr>
        <w:rPr>
          <w:rFonts w:hint="default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578475" cy="1681480"/>
            <wp:effectExtent l="0" t="0" r="9525" b="7620"/>
            <wp:docPr id="7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78475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  <w:rPr>
          <w:rFonts w:hint="eastAsia" w:cs="宋体"/>
          <w:lang w:val="en-US" w:eastAsia="zh-CN"/>
        </w:rPr>
      </w:pPr>
      <w:r>
        <w:rPr>
          <w:rFonts w:hint="eastAsia" w:cs="宋体"/>
          <w:lang w:val="en-US" w:eastAsia="zh-CN"/>
        </w:rPr>
        <w:t>采购计划审核</w:t>
      </w:r>
      <w:r>
        <w:rPr>
          <w:rFonts w:hint="eastAsia" w:ascii="宋体" w:hAnsi="宋体" w:eastAsia="宋体" w:cs="宋体"/>
          <w:lang w:val="en-US" w:eastAsia="zh-CN"/>
        </w:rPr>
        <w:t>-</w:t>
      </w:r>
      <w:r>
        <w:rPr>
          <w:rFonts w:hint="eastAsia" w:cs="宋体"/>
          <w:lang w:val="en-US" w:eastAsia="zh-CN"/>
        </w:rPr>
        <w:t>已审核</w:t>
      </w:r>
    </w:p>
    <w:p>
      <w:pPr>
        <w:pStyle w:val="25"/>
        <w:jc w:val="center"/>
      </w:pPr>
      <w:r>
        <w:drawing>
          <wp:inline distT="0" distB="0" distL="114300" distR="114300">
            <wp:extent cx="5572760" cy="2337435"/>
            <wp:effectExtent l="0" t="0" r="2540" b="12065"/>
            <wp:docPr id="7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cs="宋体"/>
          <w:lang w:val="en-US" w:eastAsia="zh-CN"/>
        </w:rPr>
        <w:t>采购计划审核</w:t>
      </w:r>
      <w:r>
        <w:rPr>
          <w:rFonts w:hint="eastAsia" w:ascii="宋体" w:hAnsi="宋体" w:eastAsia="宋体" w:cs="宋体"/>
          <w:lang w:val="en-US" w:eastAsia="zh-CN"/>
        </w:rPr>
        <w:t>-</w:t>
      </w:r>
      <w:r>
        <w:rPr>
          <w:rFonts w:hint="eastAsia" w:cs="宋体"/>
          <w:lang w:val="en-US" w:eastAsia="zh-CN"/>
        </w:rPr>
        <w:t>发送详情页</w:t>
      </w:r>
    </w:p>
    <w:p>
      <w:pPr>
        <w:pStyle w:val="52"/>
        <w:numPr>
          <w:ilvl w:val="0"/>
          <w:numId w:val="11"/>
        </w:numPr>
        <w:ind w:firstLine="42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cs="宋体"/>
          <w:lang w:val="en-US" w:eastAsia="zh-CN"/>
        </w:rPr>
        <w:t>点击“已发送”tab页，页面展示已发送数据，配送企业没发货的订单，可以点击【作废】取消订单；</w:t>
      </w:r>
    </w:p>
    <w:p>
      <w:pPr>
        <w:pStyle w:val="52"/>
        <w:numPr>
          <w:ilvl w:val="0"/>
          <w:numId w:val="0"/>
        </w:numPr>
      </w:pPr>
      <w:r>
        <w:drawing>
          <wp:inline distT="0" distB="0" distL="114300" distR="114300">
            <wp:extent cx="5569585" cy="1649095"/>
            <wp:effectExtent l="0" t="0" r="5715" b="1905"/>
            <wp:docPr id="7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69585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  <w:rPr>
          <w:rFonts w:hint="eastAsia" w:cs="宋体"/>
          <w:lang w:val="en-US" w:eastAsia="zh-CN"/>
        </w:rPr>
      </w:pPr>
      <w:r>
        <w:rPr>
          <w:rFonts w:hint="eastAsia" w:cs="宋体"/>
          <w:lang w:val="en-US" w:eastAsia="zh-CN"/>
        </w:rPr>
        <w:t>采购计划审核</w:t>
      </w:r>
      <w:r>
        <w:rPr>
          <w:rFonts w:hint="eastAsia" w:ascii="宋体" w:hAnsi="宋体" w:eastAsia="宋体" w:cs="宋体"/>
          <w:lang w:val="en-US" w:eastAsia="zh-CN"/>
        </w:rPr>
        <w:t>-</w:t>
      </w:r>
      <w:r>
        <w:rPr>
          <w:rFonts w:hint="eastAsia" w:cs="宋体"/>
          <w:lang w:val="en-US" w:eastAsia="zh-CN"/>
        </w:rPr>
        <w:t>已发送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注意事项</w:t>
      </w:r>
    </w:p>
    <w:p>
      <w:pPr>
        <w:pStyle w:val="52"/>
        <w:ind w:firstLine="420"/>
        <w:rPr>
          <w:rFonts w:hint="eastAsia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*注：</w:t>
      </w:r>
      <w:r>
        <w:rPr>
          <w:rFonts w:hint="eastAsia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无</w:t>
      </w:r>
    </w:p>
    <w:p>
      <w:pPr>
        <w:pStyle w:val="6"/>
        <w:bidi w:val="0"/>
        <w:rPr>
          <w:rFonts w:hint="default"/>
          <w:lang w:val="en-US" w:eastAsia="zh-CN"/>
        </w:rPr>
      </w:pPr>
      <w:bookmarkStart w:id="12" w:name="_Toc19698"/>
      <w:r>
        <w:rPr>
          <w:rFonts w:hint="eastAsia"/>
          <w:lang w:val="en-US" w:eastAsia="zh-CN"/>
        </w:rPr>
        <w:t>收货退货管理</w:t>
      </w:r>
      <w:bookmarkEnd w:id="12"/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功能描述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介绍中药饮片收货退货管理；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操作权限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收货、退货等操作；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操作流程</w:t>
      </w:r>
    </w:p>
    <w:p>
      <w:pPr>
        <w:rPr>
          <w:rFonts w:hint="eastAsia"/>
          <w:b/>
          <w:bCs/>
        </w:rPr>
      </w:pPr>
      <w:r>
        <w:rPr>
          <w:rFonts w:hint="eastAsia" w:cs="宋体"/>
          <w:b/>
          <w:bCs/>
          <w:lang w:val="en-US" w:eastAsia="zh-CN"/>
        </w:rPr>
        <w:t>【药品交易结算：收货退货管理-收货管理】</w:t>
      </w:r>
    </w:p>
    <w:p>
      <w:pPr>
        <w:pStyle w:val="52"/>
        <w:numPr>
          <w:ilvl w:val="0"/>
          <w:numId w:val="12"/>
        </w:numPr>
        <w:ind w:firstLine="422"/>
        <w:rPr>
          <w:rFonts w:hint="default" w:cs="宋体"/>
          <w:b w:val="0"/>
          <w:bCs w:val="0"/>
          <w:lang w:val="en-US" w:eastAsia="zh-CN"/>
        </w:rPr>
      </w:pPr>
      <w:r>
        <w:rPr>
          <w:rFonts w:hint="eastAsia" w:cs="宋体"/>
          <w:b w:val="0"/>
          <w:bCs w:val="0"/>
          <w:lang w:val="en-US" w:eastAsia="zh-CN"/>
        </w:rPr>
        <w:t>点击“按订单发送”tab页，列表展示已发货的订单；点击操作栏的【确认收货】进入收货详情页面，修改“本次到货数量”，点击【确认收货】；</w:t>
      </w:r>
    </w:p>
    <w:p>
      <w:pPr>
        <w:pStyle w:val="52"/>
        <w:numPr>
          <w:ilvl w:val="0"/>
          <w:numId w:val="0"/>
        </w:numPr>
      </w:pPr>
      <w:r>
        <w:drawing>
          <wp:inline distT="0" distB="0" distL="114300" distR="114300">
            <wp:extent cx="5571490" cy="2136140"/>
            <wp:effectExtent l="0" t="0" r="3810" b="10160"/>
            <wp:docPr id="7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  <w:rPr>
          <w:rFonts w:hint="default" w:cs="宋体"/>
          <w:lang w:val="en-US" w:eastAsia="zh-CN"/>
        </w:rPr>
      </w:pPr>
      <w:r>
        <w:rPr>
          <w:rFonts w:hint="eastAsia" w:cs="宋体"/>
          <w:lang w:val="en-US" w:eastAsia="zh-CN"/>
        </w:rPr>
        <w:t>收货管理</w:t>
      </w:r>
      <w:r>
        <w:rPr>
          <w:rFonts w:hint="eastAsia" w:ascii="宋体" w:hAnsi="宋体" w:eastAsia="宋体" w:cs="宋体"/>
          <w:lang w:val="en-US" w:eastAsia="zh-CN"/>
        </w:rPr>
        <w:t>-</w:t>
      </w:r>
      <w:r>
        <w:rPr>
          <w:rFonts w:hint="eastAsia" w:cs="宋体"/>
          <w:lang w:val="en-US" w:eastAsia="zh-CN"/>
        </w:rPr>
        <w:t>按订单收货</w:t>
      </w:r>
    </w:p>
    <w:p>
      <w:pPr>
        <w:pStyle w:val="52"/>
        <w:numPr>
          <w:ilvl w:val="0"/>
          <w:numId w:val="0"/>
        </w:numPr>
      </w:pPr>
      <w:r>
        <w:drawing>
          <wp:inline distT="0" distB="0" distL="114300" distR="114300">
            <wp:extent cx="5569585" cy="1638300"/>
            <wp:effectExtent l="0" t="0" r="5715" b="0"/>
            <wp:docPr id="7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6958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</w:pPr>
      <w:r>
        <w:rPr>
          <w:rFonts w:hint="eastAsia" w:cs="宋体"/>
          <w:lang w:val="en-US" w:eastAsia="zh-CN"/>
        </w:rPr>
        <w:t>收货管理</w:t>
      </w:r>
      <w:r>
        <w:rPr>
          <w:rFonts w:hint="eastAsia" w:ascii="宋体" w:hAnsi="宋体" w:eastAsia="宋体" w:cs="宋体"/>
          <w:lang w:val="en-US" w:eastAsia="zh-CN"/>
        </w:rPr>
        <w:t>-</w:t>
      </w:r>
      <w:r>
        <w:rPr>
          <w:rFonts w:hint="eastAsia" w:cs="宋体"/>
          <w:lang w:val="en-US" w:eastAsia="zh-CN"/>
        </w:rPr>
        <w:t>按订单收货详情页</w:t>
      </w:r>
    </w:p>
    <w:p>
      <w:pPr>
        <w:pStyle w:val="52"/>
        <w:numPr>
          <w:ilvl w:val="0"/>
          <w:numId w:val="12"/>
        </w:numPr>
        <w:ind w:firstLine="422"/>
        <w:rPr>
          <w:rFonts w:hint="default" w:cs="宋体"/>
          <w:b w:val="0"/>
          <w:bCs w:val="0"/>
          <w:lang w:val="en-US" w:eastAsia="zh-CN"/>
        </w:rPr>
      </w:pPr>
      <w:r>
        <w:rPr>
          <w:rFonts w:hint="eastAsia" w:cs="宋体"/>
          <w:b w:val="0"/>
          <w:bCs w:val="0"/>
          <w:lang w:val="en-US" w:eastAsia="zh-CN"/>
        </w:rPr>
        <w:t>点击“按明细收货”tab页：列表展示发货订单中的明细，可以修改“本次到货数量”，进行【确认收货】或【批量确认】；</w:t>
      </w:r>
    </w:p>
    <w:p>
      <w:pPr>
        <w:pStyle w:val="52"/>
        <w:numPr>
          <w:ilvl w:val="0"/>
          <w:numId w:val="0"/>
        </w:numPr>
      </w:pPr>
      <w:r>
        <w:drawing>
          <wp:inline distT="0" distB="0" distL="114300" distR="114300">
            <wp:extent cx="5571490" cy="1778635"/>
            <wp:effectExtent l="0" t="0" r="3810" b="12065"/>
            <wp:docPr id="8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4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  <w:rPr>
          <w:rFonts w:hint="default"/>
          <w:lang w:val="en-US"/>
        </w:rPr>
      </w:pPr>
      <w:r>
        <w:rPr>
          <w:rFonts w:hint="eastAsia" w:cs="宋体"/>
          <w:lang w:val="en-US" w:eastAsia="zh-CN"/>
        </w:rPr>
        <w:t>收货管理</w:t>
      </w:r>
      <w:r>
        <w:rPr>
          <w:rFonts w:hint="eastAsia" w:ascii="宋体" w:hAnsi="宋体" w:eastAsia="宋体" w:cs="宋体"/>
          <w:lang w:val="en-US" w:eastAsia="zh-CN"/>
        </w:rPr>
        <w:t>-</w:t>
      </w:r>
      <w:r>
        <w:rPr>
          <w:rFonts w:hint="eastAsia" w:cs="宋体"/>
          <w:lang w:val="en-US" w:eastAsia="zh-CN"/>
        </w:rPr>
        <w:t>按明细收货</w:t>
      </w:r>
    </w:p>
    <w:p>
      <w:pPr>
        <w:rPr>
          <w:rFonts w:hint="eastAsia"/>
          <w:b/>
          <w:bCs/>
        </w:rPr>
      </w:pPr>
      <w:r>
        <w:rPr>
          <w:rFonts w:hint="eastAsia" w:cs="宋体"/>
          <w:b/>
          <w:bCs/>
          <w:lang w:val="en-US" w:eastAsia="zh-CN"/>
        </w:rPr>
        <w:t>【药品交易结算：收货退货管理-退货管理】</w:t>
      </w:r>
    </w:p>
    <w:p>
      <w:pPr>
        <w:pStyle w:val="52"/>
        <w:numPr>
          <w:ilvl w:val="0"/>
          <w:numId w:val="13"/>
        </w:numPr>
        <w:ind w:firstLine="422"/>
        <w:rPr>
          <w:rFonts w:hint="default" w:cs="宋体"/>
          <w:b w:val="0"/>
          <w:bCs w:val="0"/>
          <w:lang w:val="en-US" w:eastAsia="zh-CN"/>
        </w:rPr>
      </w:pPr>
      <w:r>
        <w:rPr>
          <w:rFonts w:hint="eastAsia" w:cs="宋体"/>
          <w:b w:val="0"/>
          <w:bCs w:val="0"/>
          <w:lang w:val="en-US" w:eastAsia="zh-CN"/>
        </w:rPr>
        <w:t>点击“待确认”tab页，列表展示已申请退货数据；</w:t>
      </w:r>
    </w:p>
    <w:p>
      <w:pPr>
        <w:pStyle w:val="52"/>
        <w:numPr>
          <w:ilvl w:val="0"/>
          <w:numId w:val="0"/>
        </w:numPr>
        <w:ind w:firstLine="840" w:firstLineChars="400"/>
        <w:rPr>
          <w:rFonts w:hint="eastAsia" w:cs="宋体"/>
          <w:b w:val="0"/>
          <w:bCs w:val="0"/>
          <w:lang w:val="en-US" w:eastAsia="zh-CN"/>
        </w:rPr>
      </w:pPr>
      <w:r>
        <w:rPr>
          <w:rFonts w:hint="eastAsia" w:cs="宋体"/>
          <w:b w:val="0"/>
          <w:bCs w:val="0"/>
          <w:lang w:val="en-US" w:eastAsia="zh-CN"/>
        </w:rPr>
        <w:t>1.1点击【申请退货】进入申请退货明细页面，选择对应的明细，点击【下一步】，进入申请退货详情，填写“退货原因”、“本次退货数”，点击【提交退货】返回主列表，数据发送到配送企业；</w:t>
      </w:r>
    </w:p>
    <w:p>
      <w:pPr>
        <w:pStyle w:val="52"/>
        <w:numPr>
          <w:ilvl w:val="0"/>
          <w:numId w:val="0"/>
        </w:numPr>
        <w:ind w:firstLine="840" w:firstLineChars="400"/>
        <w:rPr>
          <w:rFonts w:hint="default" w:cs="宋体"/>
          <w:b w:val="0"/>
          <w:bCs w:val="0"/>
          <w:lang w:val="en-US" w:eastAsia="zh-CN"/>
        </w:rPr>
      </w:pPr>
      <w:r>
        <w:rPr>
          <w:rFonts w:hint="eastAsia" w:cs="宋体"/>
          <w:b w:val="0"/>
          <w:bCs w:val="0"/>
          <w:lang w:val="en-US" w:eastAsia="zh-CN"/>
        </w:rPr>
        <w:t>1.2点击【撤销】，撤销申请退货数据；</w:t>
      </w:r>
    </w:p>
    <w:p>
      <w:pPr>
        <w:pStyle w:val="52"/>
        <w:numPr>
          <w:ilvl w:val="0"/>
          <w:numId w:val="0"/>
        </w:numPr>
      </w:pPr>
      <w:r>
        <w:drawing>
          <wp:inline distT="0" distB="0" distL="114300" distR="114300">
            <wp:extent cx="5578475" cy="1722755"/>
            <wp:effectExtent l="0" t="0" r="9525" b="4445"/>
            <wp:docPr id="8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4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7847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  <w:rPr>
          <w:rFonts w:hint="default"/>
          <w:lang w:val="en-US"/>
        </w:rPr>
      </w:pPr>
      <w:r>
        <w:rPr>
          <w:rFonts w:hint="eastAsia" w:cs="宋体"/>
          <w:lang w:val="en-US" w:eastAsia="zh-CN"/>
        </w:rPr>
        <w:t>退货管理</w:t>
      </w:r>
    </w:p>
    <w:p>
      <w:pPr>
        <w:pStyle w:val="52"/>
        <w:numPr>
          <w:ilvl w:val="0"/>
          <w:numId w:val="0"/>
        </w:numPr>
      </w:pPr>
      <w:r>
        <w:drawing>
          <wp:inline distT="0" distB="0" distL="114300" distR="114300">
            <wp:extent cx="5569585" cy="2282190"/>
            <wp:effectExtent l="0" t="0" r="5715" b="3810"/>
            <wp:docPr id="8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4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6958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  <w:rPr>
          <w:rFonts w:hint="eastAsia" w:cs="宋体"/>
          <w:lang w:val="en-US" w:eastAsia="zh-CN"/>
        </w:rPr>
      </w:pPr>
      <w:r>
        <w:rPr>
          <w:rFonts w:hint="eastAsia" w:cs="宋体"/>
          <w:lang w:val="en-US" w:eastAsia="zh-CN"/>
        </w:rPr>
        <w:t>退货管理-申请退货明细列表</w:t>
      </w:r>
    </w:p>
    <w:p>
      <w:pPr>
        <w:pStyle w:val="25"/>
        <w:jc w:val="center"/>
      </w:pPr>
      <w:r>
        <w:drawing>
          <wp:inline distT="0" distB="0" distL="114300" distR="114300">
            <wp:extent cx="5571490" cy="1863090"/>
            <wp:effectExtent l="0" t="0" r="3810" b="3810"/>
            <wp:docPr id="8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4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  <w:rPr>
          <w:rFonts w:hint="default"/>
          <w:lang w:val="en-US" w:eastAsia="zh-CN"/>
        </w:rPr>
      </w:pPr>
      <w:r>
        <w:rPr>
          <w:rFonts w:hint="eastAsia" w:cs="宋体"/>
          <w:lang w:val="en-US" w:eastAsia="zh-CN"/>
        </w:rPr>
        <w:t>退货管理-申请退货详情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注意事项</w:t>
      </w:r>
    </w:p>
    <w:p>
      <w:pPr>
        <w:pStyle w:val="52"/>
        <w:ind w:firstLine="420"/>
        <w:rPr>
          <w:rFonts w:hint="default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*注：</w:t>
      </w:r>
      <w:r>
        <w:rPr>
          <w:rFonts w:hint="eastAsia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无</w:t>
      </w:r>
    </w:p>
    <w:p>
      <w:pPr>
        <w:pStyle w:val="5"/>
        <w:bidi w:val="0"/>
        <w:ind w:left="995" w:leftChars="0" w:hanging="995" w:hangingChars="413"/>
        <w:rPr>
          <w:rFonts w:hint="default"/>
          <w:lang w:val="en-US" w:eastAsia="zh-CN"/>
        </w:rPr>
      </w:pPr>
      <w:bookmarkStart w:id="13" w:name="_Toc5144"/>
      <w:r>
        <w:rPr>
          <w:rFonts w:hint="eastAsia"/>
          <w:lang w:val="en-US" w:eastAsia="zh-CN"/>
        </w:rPr>
        <w:t>生产/代理企业</w:t>
      </w:r>
      <w:bookmarkEnd w:id="13"/>
    </w:p>
    <w:p>
      <w:pPr>
        <w:pStyle w:val="6"/>
        <w:bidi w:val="0"/>
        <w:rPr>
          <w:rFonts w:hint="default"/>
          <w:lang w:val="en-US" w:eastAsia="zh-CN"/>
        </w:rPr>
      </w:pPr>
      <w:bookmarkStart w:id="14" w:name="_Toc11316"/>
      <w:r>
        <w:rPr>
          <w:rFonts w:hint="eastAsia"/>
          <w:lang w:val="en-US" w:eastAsia="zh-CN"/>
        </w:rPr>
        <w:t>议价管理、设置配送企业</w:t>
      </w:r>
      <w:bookmarkEnd w:id="14"/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功能描述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介绍生产/代理企业议价管理、设置配送企业功能；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操作权限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药品查询、议价、选择配送企业等操作；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操作流程</w:t>
      </w:r>
    </w:p>
    <w:p>
      <w:pPr>
        <w:rPr>
          <w:rFonts w:hint="eastAsia"/>
          <w:b/>
          <w:bCs/>
        </w:rPr>
      </w:pPr>
      <w:r>
        <w:rPr>
          <w:rFonts w:hint="eastAsia" w:cs="宋体"/>
          <w:b/>
          <w:bCs/>
          <w:lang w:val="en-US" w:eastAsia="zh-CN"/>
        </w:rPr>
        <w:t>【药品交易结算：项目维护-中药配方颗粒/中药饮片】</w:t>
      </w:r>
    </w:p>
    <w:p>
      <w:pPr>
        <w:pStyle w:val="52"/>
        <w:numPr>
          <w:ilvl w:val="0"/>
          <w:numId w:val="14"/>
        </w:numPr>
        <w:ind w:firstLine="422"/>
        <w:rPr>
          <w:rFonts w:hint="default" w:cs="宋体"/>
          <w:b w:val="0"/>
          <w:bCs w:val="0"/>
          <w:lang w:val="en-US" w:eastAsia="zh-CN"/>
        </w:rPr>
      </w:pPr>
      <w:r>
        <w:rPr>
          <w:rFonts w:hint="eastAsia" w:cs="宋体"/>
          <w:b w:val="0"/>
          <w:bCs w:val="0"/>
          <w:lang w:val="en-US" w:eastAsia="zh-CN"/>
        </w:rPr>
        <w:t>列表：展示已挂网的产品，可按“流水号”、“产品名称”、“产品编码”、“规格”、“包装”、“项目名称”等查询；</w:t>
      </w:r>
    </w:p>
    <w:p>
      <w:pPr>
        <w:pStyle w:val="52"/>
        <w:numPr>
          <w:ilvl w:val="0"/>
          <w:numId w:val="0"/>
        </w:numPr>
      </w:pPr>
      <w:r>
        <w:drawing>
          <wp:inline distT="0" distB="0" distL="114300" distR="114300">
            <wp:extent cx="5577840" cy="2041525"/>
            <wp:effectExtent l="0" t="0" r="10160" b="3175"/>
            <wp:docPr id="8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4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  <w:rPr>
          <w:rFonts w:hint="eastAsia" w:cs="宋体"/>
          <w:lang w:val="en-US" w:eastAsia="zh-CN"/>
        </w:rPr>
      </w:pPr>
      <w:r>
        <w:rPr>
          <w:rFonts w:hint="eastAsia" w:cs="宋体"/>
          <w:lang w:val="en-US" w:eastAsia="zh-CN"/>
        </w:rPr>
        <w:t>中药配方颗粒/中药饮片</w:t>
      </w:r>
    </w:p>
    <w:p>
      <w:pPr>
        <w:pStyle w:val="52"/>
        <w:numPr>
          <w:ilvl w:val="0"/>
          <w:numId w:val="14"/>
        </w:numPr>
        <w:ind w:firstLine="422"/>
        <w:rPr>
          <w:rFonts w:hint="default" w:cs="宋体"/>
          <w:b w:val="0"/>
          <w:bCs w:val="0"/>
          <w:lang w:val="en-US" w:eastAsia="zh-CN"/>
        </w:rPr>
      </w:pPr>
      <w:r>
        <w:rPr>
          <w:rFonts w:hint="eastAsia" w:cs="宋体"/>
          <w:b w:val="0"/>
          <w:bCs w:val="0"/>
          <w:lang w:val="en-US" w:eastAsia="zh-CN"/>
        </w:rPr>
        <w:t>待议价数量：点击“待议价数量”不为0的数据，进入议价管理页面，确认“议价价格”后，点击【同意】或者【不同意】；</w:t>
      </w:r>
    </w:p>
    <w:p>
      <w:pPr>
        <w:pStyle w:val="52"/>
        <w:numPr>
          <w:ilvl w:val="0"/>
          <w:numId w:val="0"/>
        </w:numPr>
        <w:rPr>
          <w:rFonts w:hint="default" w:cs="宋体"/>
          <w:b w:val="0"/>
          <w:bCs w:val="0"/>
          <w:color w:val="FF0000"/>
          <w:lang w:val="en-US" w:eastAsia="zh-CN"/>
        </w:rPr>
      </w:pPr>
      <w:r>
        <w:rPr>
          <w:rFonts w:hint="eastAsia" w:cs="宋体"/>
          <w:b w:val="0"/>
          <w:bCs w:val="0"/>
          <w:color w:val="FF0000"/>
          <w:lang w:val="en-US" w:eastAsia="zh-CN"/>
        </w:rPr>
        <w:t>注意：查看页面的红色字体的议价流程、选配流程提示信息；</w:t>
      </w:r>
    </w:p>
    <w:p>
      <w:pPr>
        <w:pStyle w:val="52"/>
        <w:numPr>
          <w:ilvl w:val="0"/>
          <w:numId w:val="0"/>
        </w:numPr>
        <w:rPr>
          <w:rFonts w:hint="default" w:cs="宋体"/>
          <w:b w:val="0"/>
          <w:bCs w:val="0"/>
          <w:lang w:val="en-US" w:eastAsia="zh-CN"/>
        </w:rPr>
      </w:pPr>
      <w:r>
        <w:drawing>
          <wp:inline distT="0" distB="0" distL="114300" distR="114300">
            <wp:extent cx="5568950" cy="2165350"/>
            <wp:effectExtent l="0" t="0" r="6350" b="6350"/>
            <wp:docPr id="8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4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  <w:rPr>
          <w:rFonts w:hint="eastAsia" w:cs="宋体"/>
          <w:lang w:val="en-US" w:eastAsia="zh-CN"/>
        </w:rPr>
      </w:pPr>
      <w:r>
        <w:rPr>
          <w:rFonts w:hint="eastAsia" w:cs="宋体"/>
          <w:lang w:val="en-US" w:eastAsia="zh-CN"/>
        </w:rPr>
        <w:t>中药配方颗粒/中药饮片-议价管理</w:t>
      </w:r>
    </w:p>
    <w:p>
      <w:pPr>
        <w:pStyle w:val="52"/>
        <w:numPr>
          <w:ilvl w:val="0"/>
          <w:numId w:val="14"/>
        </w:numPr>
        <w:ind w:firstLine="422"/>
        <w:rPr>
          <w:rFonts w:hint="default" w:cs="宋体"/>
          <w:b w:val="0"/>
          <w:bCs w:val="0"/>
          <w:lang w:val="en-US" w:eastAsia="zh-CN"/>
        </w:rPr>
      </w:pPr>
      <w:r>
        <w:rPr>
          <w:rFonts w:hint="eastAsia" w:cs="宋体"/>
          <w:b w:val="0"/>
          <w:bCs w:val="0"/>
          <w:lang w:val="en-US" w:eastAsia="zh-CN"/>
        </w:rPr>
        <w:t>待选配数量：点击“待选配数量”不为0的数据，进入选配管理页面；点击数据对应操作栏【选配管理】按钮，弹出设置配送企业输入框，输入对应的配送企业，点击【确认】；</w:t>
      </w:r>
    </w:p>
    <w:p>
      <w:pPr>
        <w:pStyle w:val="25"/>
        <w:jc w:val="both"/>
        <w:rPr>
          <w:rFonts w:hint="default" w:cs="宋体"/>
          <w:lang w:val="en-US" w:eastAsia="zh-CN"/>
        </w:rPr>
      </w:pPr>
    </w:p>
    <w:p>
      <w:pPr>
        <w:pStyle w:val="52"/>
        <w:numPr>
          <w:ilvl w:val="0"/>
          <w:numId w:val="0"/>
        </w:numPr>
      </w:pPr>
      <w:r>
        <w:drawing>
          <wp:inline distT="0" distB="0" distL="114300" distR="114300">
            <wp:extent cx="5577840" cy="2297430"/>
            <wp:effectExtent l="0" t="0" r="10160" b="1270"/>
            <wp:docPr id="8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4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  <w:rPr>
          <w:rFonts w:hint="eastAsia"/>
          <w:lang w:val="en-US" w:eastAsia="zh-CN"/>
        </w:rPr>
      </w:pPr>
      <w:r>
        <w:rPr>
          <w:rFonts w:hint="eastAsia" w:cs="宋体"/>
          <w:lang w:val="en-US" w:eastAsia="zh-CN"/>
        </w:rPr>
        <w:t>中药配方颗粒/中药饮片-选配管理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注意事项</w:t>
      </w:r>
    </w:p>
    <w:p>
      <w:pPr>
        <w:pStyle w:val="52"/>
        <w:ind w:firstLine="42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*注：</w:t>
      </w:r>
      <w:r>
        <w:rPr>
          <w:rFonts w:hint="eastAsia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无</w:t>
      </w:r>
    </w:p>
    <w:p>
      <w:pPr>
        <w:pStyle w:val="5"/>
        <w:bidi w:val="0"/>
        <w:ind w:left="995" w:leftChars="0" w:hanging="995" w:hangingChars="413"/>
        <w:rPr>
          <w:rFonts w:hint="default"/>
          <w:lang w:val="en-US" w:eastAsia="zh-CN"/>
        </w:rPr>
      </w:pPr>
      <w:bookmarkStart w:id="15" w:name="_Toc7268"/>
      <w:r>
        <w:rPr>
          <w:rFonts w:hint="eastAsia"/>
          <w:lang w:val="en-US" w:eastAsia="zh-CN"/>
        </w:rPr>
        <w:t>配送企业</w:t>
      </w:r>
      <w:bookmarkEnd w:id="15"/>
    </w:p>
    <w:p>
      <w:pPr>
        <w:pStyle w:val="6"/>
        <w:bidi w:val="0"/>
        <w:rPr>
          <w:rFonts w:hint="default"/>
          <w:lang w:val="en-US" w:eastAsia="zh-CN"/>
        </w:rPr>
      </w:pPr>
      <w:bookmarkStart w:id="16" w:name="_Toc24248"/>
      <w:r>
        <w:rPr>
          <w:rFonts w:hint="eastAsia"/>
          <w:lang w:val="en-US" w:eastAsia="zh-CN"/>
        </w:rPr>
        <w:t>议价管理、选配管理</w:t>
      </w:r>
      <w:bookmarkEnd w:id="16"/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功能描述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同意医院的议价、企业的选配；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操作权限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产品选配操作；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操作流程</w:t>
      </w:r>
    </w:p>
    <w:p>
      <w:pPr>
        <w:rPr>
          <w:rFonts w:hint="default"/>
          <w:lang w:val="en-US" w:eastAsia="zh-CN"/>
        </w:rPr>
      </w:pPr>
      <w:r>
        <w:rPr>
          <w:rFonts w:hint="eastAsia" w:cs="宋体"/>
          <w:b/>
          <w:bCs/>
          <w:lang w:val="en-US" w:eastAsia="zh-CN"/>
        </w:rPr>
        <w:t>【药品交易结算：项目维护-中药配方颗粒/中药饮片】</w:t>
      </w:r>
    </w:p>
    <w:p>
      <w:pPr>
        <w:pStyle w:val="52"/>
        <w:numPr>
          <w:ilvl w:val="0"/>
          <w:numId w:val="15"/>
        </w:numPr>
        <w:ind w:firstLine="420" w:firstLineChars="200"/>
        <w:rPr>
          <w:rFonts w:hint="eastAsia" w:cs="宋体"/>
          <w:lang w:val="en-US" w:eastAsia="zh-CN"/>
        </w:rPr>
      </w:pPr>
      <w:r>
        <w:rPr>
          <w:rFonts w:hint="eastAsia" w:cs="宋体"/>
          <w:lang w:val="en-US" w:eastAsia="zh-CN"/>
        </w:rPr>
        <w:t>列表：展示企业设置配送企业的数据；可按“流水号”、“产品名称”、“产品编码”等条件查询；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575300" cy="2350135"/>
            <wp:effectExtent l="0" t="0" r="0" b="12065"/>
            <wp:docPr id="8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4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  <w:rPr>
          <w:rFonts w:hint="eastAsia"/>
          <w:lang w:val="en-US" w:eastAsia="zh-CN"/>
        </w:rPr>
      </w:pPr>
      <w:r>
        <w:rPr>
          <w:rFonts w:hint="eastAsia" w:cs="宋体"/>
          <w:lang w:val="en-US" w:eastAsia="zh-CN"/>
        </w:rPr>
        <w:t>中药配方颗粒/中药饮片</w:t>
      </w:r>
    </w:p>
    <w:p>
      <w:pPr>
        <w:pStyle w:val="52"/>
        <w:numPr>
          <w:ilvl w:val="0"/>
          <w:numId w:val="15"/>
        </w:numPr>
        <w:ind w:firstLine="420" w:firstLineChars="200"/>
        <w:rPr>
          <w:rFonts w:hint="eastAsia" w:cs="宋体"/>
          <w:lang w:val="en-US" w:eastAsia="zh-CN"/>
        </w:rPr>
      </w:pPr>
      <w:r>
        <w:rPr>
          <w:rFonts w:hint="eastAsia" w:cs="宋体"/>
          <w:lang w:val="en-US" w:eastAsia="zh-CN"/>
        </w:rPr>
        <w:t>同意：确认产品价格无误后，点击【同意】按钮；</w:t>
      </w:r>
    </w:p>
    <w:p>
      <w:pPr>
        <w:pStyle w:val="52"/>
        <w:numPr>
          <w:ilvl w:val="0"/>
          <w:numId w:val="15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 w:cs="宋体"/>
          <w:lang w:val="en-US" w:eastAsia="zh-CN"/>
        </w:rPr>
        <w:t>不同意：确认产品价格有误后，点击【不同意】按钮；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注意事项</w:t>
      </w:r>
    </w:p>
    <w:p>
      <w:pPr>
        <w:pStyle w:val="52"/>
        <w:ind w:firstLine="42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*注：</w:t>
      </w:r>
      <w:r>
        <w:rPr>
          <w:rFonts w:hint="eastAsia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无</w:t>
      </w:r>
    </w:p>
    <w:p>
      <w:pPr>
        <w:pStyle w:val="6"/>
        <w:bidi w:val="0"/>
        <w:rPr>
          <w:rFonts w:hint="default"/>
          <w:lang w:val="en-US" w:eastAsia="zh-CN"/>
        </w:rPr>
      </w:pPr>
      <w:bookmarkStart w:id="17" w:name="_Toc27075"/>
      <w:r>
        <w:rPr>
          <w:rFonts w:hint="eastAsia"/>
          <w:lang w:val="en-US" w:eastAsia="zh-CN"/>
        </w:rPr>
        <w:t>发货退货管理</w:t>
      </w:r>
      <w:bookmarkEnd w:id="17"/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功能描述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发货、退货管理；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操作权限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发货退货等操作；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操作流程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【药品招标管理：发货退货管理-按订单发货】</w:t>
      </w:r>
    </w:p>
    <w:p>
      <w:pPr>
        <w:numPr>
          <w:ilvl w:val="0"/>
          <w:numId w:val="16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列表：列表展示需要发货的订单；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571490" cy="1778635"/>
            <wp:effectExtent l="0" t="0" r="3810" b="12065"/>
            <wp:docPr id="8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4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  <w:rPr>
          <w:rFonts w:hint="eastAsia"/>
          <w:lang w:val="en-US" w:eastAsia="zh-CN"/>
        </w:rPr>
      </w:pPr>
      <w:r>
        <w:rPr>
          <w:rFonts w:hint="eastAsia" w:cs="宋体"/>
          <w:lang w:val="en-US" w:eastAsia="zh-CN"/>
        </w:rPr>
        <w:t>待发货</w:t>
      </w:r>
    </w:p>
    <w:p>
      <w:pPr>
        <w:pStyle w:val="2"/>
        <w:numPr>
          <w:ilvl w:val="0"/>
          <w:numId w:val="16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发货：点击【发货】进入详情页面，填写信息后，点击【确认发货】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575935" cy="2263775"/>
            <wp:effectExtent l="0" t="0" r="12065" b="9525"/>
            <wp:docPr id="8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4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57593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  <w:rPr>
          <w:rFonts w:hint="eastAsia" w:cs="宋体"/>
          <w:lang w:val="en-US" w:eastAsia="zh-CN"/>
        </w:rPr>
      </w:pPr>
      <w:r>
        <w:rPr>
          <w:rFonts w:hint="eastAsia" w:cs="宋体"/>
          <w:lang w:val="en-US" w:eastAsia="zh-CN"/>
        </w:rPr>
        <w:t>待发货-详情页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【药品招标管理：发货退货管理-退货管理】</w:t>
      </w:r>
    </w:p>
    <w:p>
      <w:pPr>
        <w:numPr>
          <w:ilvl w:val="0"/>
          <w:numId w:val="17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列表：列表展示待退货的明细，可以【批量退货】或者【批量退货】；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577840" cy="1684020"/>
            <wp:effectExtent l="0" t="0" r="10160" b="5080"/>
            <wp:docPr id="9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5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jc w:val="center"/>
        <w:rPr>
          <w:rFonts w:hint="eastAsia"/>
          <w:lang w:val="en-US" w:eastAsia="zh-CN"/>
        </w:rPr>
      </w:pPr>
      <w:r>
        <w:rPr>
          <w:rFonts w:hint="eastAsia" w:cs="宋体"/>
          <w:lang w:val="en-US" w:eastAsia="zh-CN"/>
        </w:rPr>
        <w:t>待确认</w:t>
      </w:r>
    </w:p>
    <w:p>
      <w:pPr>
        <w:pStyle w:val="7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注意事项</w:t>
      </w:r>
    </w:p>
    <w:p>
      <w:pPr>
        <w:pStyle w:val="52"/>
        <w:ind w:firstLine="42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*注：</w:t>
      </w:r>
      <w:r>
        <w:rPr>
          <w:rFonts w:hint="eastAsia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无</w:t>
      </w:r>
    </w:p>
    <w:p>
      <w:pPr>
        <w:pStyle w:val="3"/>
        <w:tabs>
          <w:tab w:val="clear" w:pos="3267"/>
        </w:tabs>
        <w:bidi w:val="0"/>
        <w:ind w:left="2845" w:leftChars="0" w:hanging="2845" w:hangingChars="1012"/>
        <w:rPr>
          <w:rFonts w:hint="default"/>
          <w:lang w:val="en-US" w:eastAsia="zh-CN"/>
        </w:rPr>
      </w:pPr>
      <w:bookmarkStart w:id="18" w:name="_Toc29308"/>
      <w:r>
        <w:rPr>
          <w:rFonts w:hint="eastAsia"/>
          <w:lang w:val="en-US" w:eastAsia="zh-CN"/>
        </w:rPr>
        <w:t>常见问题结果</w:t>
      </w:r>
      <w:bookmarkEnd w:id="18"/>
    </w:p>
    <w:p>
      <w:pPr>
        <w:numPr>
          <w:ilvl w:val="0"/>
          <w:numId w:val="18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配送关系建立流程：</w:t>
      </w:r>
      <w:r>
        <w:rPr>
          <w:rFonts w:hint="default"/>
          <w:lang w:val="en-US" w:eastAsia="zh-CN"/>
        </w:rPr>
        <w:t>医疗机构遴选中药饮片目录(添加院内目录)-&gt;医疗机构提交议价(价格默认不可编辑)-&gt;中药饮片生产企业设置配送企业-&gt;配送企业确认。</w:t>
      </w:r>
    </w:p>
    <w:p>
      <w:pPr>
        <w:pStyle w:val="2"/>
        <w:numPr>
          <w:ilvl w:val="0"/>
          <w:numId w:val="18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通过邮箱领取账号的中药饮片生产企业注册流程：登录招采子系统（http://tps.ahyycg.cn:8666/tps-local/login）填写基本信息并上传信用承诺书</w:t>
      </w:r>
      <w:r>
        <w:rPr>
          <w:rFonts w:hint="default"/>
          <w:lang w:val="en-US" w:eastAsia="zh-CN"/>
        </w:rPr>
        <w:t>-&gt;</w:t>
      </w:r>
      <w:r>
        <w:rPr>
          <w:rFonts w:hint="eastAsia"/>
          <w:lang w:val="en-US" w:eastAsia="zh-CN"/>
        </w:rPr>
        <w:t>中心核定信用承诺书。</w:t>
      </w:r>
    </w:p>
    <w:p>
      <w:pPr>
        <w:pStyle w:val="2"/>
        <w:numPr>
          <w:ilvl w:val="0"/>
          <w:numId w:val="18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中药饮片生产企业</w:t>
      </w:r>
      <w:r>
        <w:rPr>
          <w:rFonts w:hint="eastAsia"/>
          <w:lang w:val="en-US" w:eastAsia="zh-CN"/>
        </w:rPr>
        <w:t>注册</w:t>
      </w:r>
      <w:r>
        <w:rPr>
          <w:rFonts w:hint="default"/>
          <w:lang w:val="en-US" w:eastAsia="zh-CN"/>
        </w:rPr>
        <w:t>自配送</w:t>
      </w:r>
      <w:r>
        <w:rPr>
          <w:rFonts w:hint="eastAsia"/>
          <w:lang w:val="en-US" w:eastAsia="zh-CN"/>
        </w:rPr>
        <w:t>账号流程：登录招采子系统（http://tps.ahyycg.cn:8666/tps-local/login），选择“用户注册”注册账号</w:t>
      </w:r>
      <w:r>
        <w:rPr>
          <w:rFonts w:hint="default"/>
          <w:lang w:val="en-US" w:eastAsia="zh-CN"/>
        </w:rPr>
        <w:t>-&gt;</w:t>
      </w:r>
      <w:r>
        <w:rPr>
          <w:rFonts w:hint="eastAsia"/>
          <w:lang w:val="en-US" w:eastAsia="zh-CN"/>
        </w:rPr>
        <w:t>企业维护信息并上传信用承诺书</w:t>
      </w:r>
      <w:r>
        <w:rPr>
          <w:rFonts w:hint="default"/>
          <w:lang w:val="en-US" w:eastAsia="zh-CN"/>
        </w:rPr>
        <w:t>-&gt;</w:t>
      </w:r>
      <w:r>
        <w:rPr>
          <w:rFonts w:hint="eastAsia"/>
          <w:lang w:val="en-US" w:eastAsia="zh-CN"/>
        </w:rPr>
        <w:t>中心核定信用承诺书及角色</w:t>
      </w:r>
      <w:r>
        <w:rPr>
          <w:rFonts w:hint="default"/>
          <w:lang w:val="en-US" w:eastAsia="zh-CN"/>
        </w:rPr>
        <w:t>-&gt;</w:t>
      </w:r>
      <w:r>
        <w:rPr>
          <w:rFonts w:hint="eastAsia"/>
          <w:lang w:val="en-US" w:eastAsia="zh-CN"/>
        </w:rPr>
        <w:t>采购平台公示</w:t>
      </w:r>
      <w:r>
        <w:rPr>
          <w:rFonts w:hint="default"/>
          <w:lang w:val="en-US" w:eastAsia="zh-CN"/>
        </w:rPr>
        <w:t>-&gt;</w:t>
      </w:r>
      <w:r>
        <w:rPr>
          <w:rFonts w:hint="eastAsia"/>
          <w:lang w:val="en-US" w:eastAsia="zh-CN"/>
        </w:rPr>
        <w:t>处理企业申投诉</w:t>
      </w:r>
      <w:r>
        <w:rPr>
          <w:rFonts w:hint="default"/>
          <w:lang w:val="en-US" w:eastAsia="zh-CN"/>
        </w:rPr>
        <w:t>-&gt;</w:t>
      </w:r>
      <w:r>
        <w:rPr>
          <w:rFonts w:hint="eastAsia"/>
          <w:lang w:val="en-US" w:eastAsia="zh-CN"/>
        </w:rPr>
        <w:t>导入采购平台配送企业列表。</w:t>
      </w:r>
    </w:p>
    <w:sectPr>
      <w:headerReference r:id="rId12" w:type="default"/>
      <w:footerReference r:id="rId13" w:type="default"/>
      <w:pgSz w:w="11906" w:h="16838"/>
      <w:pgMar w:top="1417" w:right="1417" w:bottom="1417" w:left="1701" w:header="851" w:footer="850" w:gutter="0"/>
      <w:pgNumType w:start="1"/>
      <w:cols w:space="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PingFang SC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firstLine="360"/>
      <w:jc w:val="center"/>
    </w:pPr>
    <w:sdt>
      <w:sdtPr>
        <w:id w:val="1"/>
      </w:sdtPr>
      <w:sdtContent>
        <w:sdt>
          <w:sdtPr>
            <w:id w:val="2"/>
          </w:sdtPr>
          <w:sdtContent/>
        </w:sdt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firstLine="360"/>
      <w:jc w:val="center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1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66C/ssAgAAV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nroL+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sdt>
      <w:sdtPr>
        <w:id w:val="3"/>
      </w:sdtPr>
      <w:sdtContent>
        <w:sdt>
          <w:sdtPr>
            <w:id w:val="4"/>
          </w:sdtPr>
          <w:sdtContent/>
        </w:sdt>
      </w:sdtContent>
    </w:sdt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firstLine="0" w:firstLineChars="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1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页/共 </w:t>
                          </w:r>
                          <w:r>
                            <w:fldChar w:fldCharType="begin"/>
                          </w:r>
                          <w:r>
                            <w:instrText xml:space="preserve"> SECTIONPAGES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cMibgsAgAAV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FwyJu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ind w:firstLine="360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页/共 </w:t>
                    </w:r>
                    <w:r>
                      <w:fldChar w:fldCharType="begin"/>
                    </w:r>
                    <w:r>
                      <w:instrText xml:space="preserve"> SECTIONPAGES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tabs>
        <w:tab w:val="clear" w:pos="4153"/>
      </w:tabs>
      <w:ind w:firstLine="0" w:firstLineChars="0"/>
    </w:pPr>
  </w:p>
  <w:p>
    <w:pPr>
      <w:pStyle w:val="22"/>
      <w:tabs>
        <w:tab w:val="clear" w:pos="4153"/>
      </w:tabs>
      <w:ind w:firstLine="0" w:firstLineChars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ind w:firstLine="0" w:firstLineChars="0"/>
    </w:pPr>
  </w:p>
  <w:p>
    <w:pPr>
      <w:pStyle w:val="22"/>
      <w:ind w:firstLine="0" w:firstLineChars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A39470"/>
    <w:multiLevelType w:val="multilevel"/>
    <w:tmpl w:val="8BA39470"/>
    <w:lvl w:ilvl="0" w:tentative="0">
      <w:start w:val="1"/>
      <w:numFmt w:val="decimal"/>
      <w:pStyle w:val="3"/>
      <w:lvlText w:val="%1."/>
      <w:lvlJc w:val="left"/>
      <w:pPr>
        <w:tabs>
          <w:tab w:val="left" w:pos="3267"/>
        </w:tabs>
        <w:ind w:left="2835" w:firstLine="0"/>
      </w:pPr>
    </w:lvl>
    <w:lvl w:ilvl="1" w:tentative="0">
      <w:start w:val="1"/>
      <w:numFmt w:val="decimal"/>
      <w:pStyle w:val="5"/>
      <w:lvlText w:val="%1.%2"/>
      <w:lvlJc w:val="left"/>
      <w:pPr>
        <w:tabs>
          <w:tab w:val="left" w:pos="1568"/>
        </w:tabs>
        <w:ind w:left="992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4"/>
        <w:szCs w:val="32"/>
        <w:u w:val="none"/>
      </w:rPr>
    </w:lvl>
    <w:lvl w:ilvl="2" w:tentative="0">
      <w:start w:val="1"/>
      <w:numFmt w:val="decimal"/>
      <w:pStyle w:val="6"/>
      <w:suff w:val="space"/>
      <w:lvlText w:val="%1.%2.%3"/>
      <w:lvlJc w:val="left"/>
      <w:pPr>
        <w:tabs>
          <w:tab w:val="left" w:pos="0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4"/>
        <w:u w:val="none"/>
        <w:vertAlign w:val="baseline"/>
        <w14:ligatures w14:val="none"/>
        <w14:numForm w14:val="default"/>
        <w14:numSpacing w14:val="default"/>
      </w:rPr>
    </w:lvl>
    <w:lvl w:ilvl="3" w:tentative="0">
      <w:start w:val="1"/>
      <w:numFmt w:val="decimal"/>
      <w:pStyle w:val="7"/>
      <w:suff w:val="space"/>
      <w:lvlText w:val="%1.%2.%3.%4"/>
      <w:lvlJc w:val="left"/>
      <w:pPr>
        <w:tabs>
          <w:tab w:val="left" w:pos="7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8"/>
        <w:u w:val="none"/>
      </w:rPr>
    </w:lvl>
    <w:lvl w:ilvl="4" w:tentative="0">
      <w:start w:val="1"/>
      <w:numFmt w:val="decimal"/>
      <w:suff w:val="space"/>
      <w:lvlText w:val="%1.%2.%3.%4.%5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8"/>
        <w:u w:val="none"/>
      </w:rPr>
    </w:lvl>
    <w:lvl w:ilvl="5" w:tentative="0">
      <w:start w:val="1"/>
      <w:numFmt w:val="decimal"/>
      <w:suff w:val="space"/>
      <w:lvlText w:val="%1.%2.%3.%4.%5.%6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1"/>
        <w:u w:val="none"/>
        <w:vertAlign w:val="baseline"/>
        <w14:ligatures w14:val="none"/>
        <w14:numForm w14:val="default"/>
        <w14:numSpacing w14:val="default"/>
      </w:rPr>
    </w:lvl>
    <w:lvl w:ilvl="6" w:tentative="0">
      <w:start w:val="1"/>
      <w:numFmt w:val="decimal"/>
      <w:suff w:val="space"/>
      <w:lvlText w:val="%1.%2.%3.%4.%5.%6.%7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color w:val="auto"/>
        <w:spacing w:val="0"/>
        <w:w w:val="100"/>
        <w:position w:val="0"/>
        <w:sz w:val="21"/>
        <w:szCs w:val="24"/>
        <w:u w:val="none"/>
      </w:rPr>
    </w:lvl>
    <w:lvl w:ilvl="7" w:tentative="0">
      <w:start w:val="1"/>
      <w:numFmt w:val="decimal"/>
      <w:suff w:val="space"/>
      <w:lvlText w:val="%1.%2.%3.%4.%5.%6.%7.%8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4"/>
        <w:u w:val="none"/>
      </w:rPr>
    </w:lvl>
    <w:lvl w:ilvl="8" w:tentative="0">
      <w:start w:val="1"/>
      <w:numFmt w:val="decimal"/>
      <w:suff w:val="space"/>
      <w:lvlText w:val="%1.%2.%3.%4.%5.%6.%7.%8.%9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4"/>
        <w:u w:val="none"/>
      </w:rPr>
    </w:lvl>
  </w:abstractNum>
  <w:abstractNum w:abstractNumId="1">
    <w:nsid w:val="8F5EF5DC"/>
    <w:multiLevelType w:val="singleLevel"/>
    <w:tmpl w:val="8F5EF5DC"/>
    <w:lvl w:ilvl="0" w:tentative="0">
      <w:start w:val="1"/>
      <w:numFmt w:val="decimal"/>
      <w:pStyle w:val="8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900B3BC3"/>
    <w:multiLevelType w:val="singleLevel"/>
    <w:tmpl w:val="900B3BC3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9821FFDA"/>
    <w:multiLevelType w:val="singleLevel"/>
    <w:tmpl w:val="9821FFDA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A47EDAE8"/>
    <w:multiLevelType w:val="singleLevel"/>
    <w:tmpl w:val="A47EDAE8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F5B85FA4"/>
    <w:multiLevelType w:val="singleLevel"/>
    <w:tmpl w:val="F5B85FA4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01F82F49"/>
    <w:multiLevelType w:val="multilevel"/>
    <w:tmpl w:val="01F82F49"/>
    <w:lvl w:ilvl="0" w:tentative="0">
      <w:start w:val="1"/>
      <w:numFmt w:val="decimal"/>
      <w:pStyle w:val="56"/>
      <w:suff w:val="space"/>
      <w:lvlText w:val="图%1"/>
      <w:lvlJc w:val="left"/>
      <w:pPr>
        <w:ind w:left="420" w:hanging="420"/>
      </w:pPr>
      <w:rPr>
        <w:rFonts w:hint="eastAsia"/>
        <w:sz w:val="18"/>
        <w:szCs w:val="18"/>
      </w:rPr>
    </w:lvl>
    <w:lvl w:ilvl="1" w:tentative="0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7">
    <w:nsid w:val="02A34C64"/>
    <w:multiLevelType w:val="singleLevel"/>
    <w:tmpl w:val="02A34C64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05974F53"/>
    <w:multiLevelType w:val="singleLevel"/>
    <w:tmpl w:val="05974F53"/>
    <w:lvl w:ilvl="0" w:tentative="0">
      <w:start w:val="1"/>
      <w:numFmt w:val="decimal"/>
      <w:suff w:val="nothing"/>
      <w:lvlText w:val="%1、"/>
      <w:lvlJc w:val="left"/>
    </w:lvl>
  </w:abstractNum>
  <w:abstractNum w:abstractNumId="9">
    <w:nsid w:val="11080EA9"/>
    <w:multiLevelType w:val="singleLevel"/>
    <w:tmpl w:val="11080EA9"/>
    <w:lvl w:ilvl="0" w:tentative="0">
      <w:start w:val="1"/>
      <w:numFmt w:val="decimal"/>
      <w:suff w:val="nothing"/>
      <w:lvlText w:val="%1、"/>
      <w:lvlJc w:val="left"/>
    </w:lvl>
  </w:abstractNum>
  <w:abstractNum w:abstractNumId="10">
    <w:nsid w:val="1BCE7768"/>
    <w:multiLevelType w:val="multilevel"/>
    <w:tmpl w:val="1BCE7768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0" w:firstLine="0"/>
      </w:pPr>
      <w:rPr>
        <w:rFonts w:hint="eastAsia"/>
        <w:color w:val="auto"/>
      </w:rPr>
    </w:lvl>
    <w:lvl w:ilvl="1" w:tentative="0">
      <w:start w:val="1"/>
      <w:numFmt w:val="decimal"/>
      <w:pStyle w:val="55"/>
      <w:lvlText w:val="%1.%2"/>
      <w:lvlJc w:val="left"/>
      <w:pPr>
        <w:tabs>
          <w:tab w:val="left" w:pos="432"/>
        </w:tabs>
        <w:ind w:left="0" w:firstLine="0"/>
      </w:pPr>
      <w:rPr>
        <w:rFonts w:hint="eastAsia" w:ascii="黑体" w:hAnsi="黑体" w:eastAsia="黑体"/>
        <w:b w:val="0"/>
        <w:lang w:val="en-US"/>
      </w:rPr>
    </w:lvl>
    <w:lvl w:ilvl="2" w:tentative="0">
      <w:start w:val="1"/>
      <w:numFmt w:val="decimal"/>
      <w:lvlText w:val="%1.%2.%3"/>
      <w:lvlJc w:val="left"/>
      <w:pPr>
        <w:tabs>
          <w:tab w:val="left" w:pos="432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lvlText w:val="%1.%2.%3.%4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32"/>
        </w:tabs>
        <w:ind w:left="0" w:firstLine="0"/>
      </w:pPr>
      <w:rPr>
        <w:rFonts w:hint="eastAsia"/>
      </w:rPr>
    </w:lvl>
  </w:abstractNum>
  <w:abstractNum w:abstractNumId="11">
    <w:nsid w:val="1C7FA14B"/>
    <w:multiLevelType w:val="singleLevel"/>
    <w:tmpl w:val="1C7FA14B"/>
    <w:lvl w:ilvl="0" w:tentative="0">
      <w:start w:val="1"/>
      <w:numFmt w:val="decimal"/>
      <w:suff w:val="nothing"/>
      <w:lvlText w:val="%1、"/>
      <w:lvlJc w:val="left"/>
    </w:lvl>
  </w:abstractNum>
  <w:abstractNum w:abstractNumId="12">
    <w:nsid w:val="2D2825F1"/>
    <w:multiLevelType w:val="singleLevel"/>
    <w:tmpl w:val="2D2825F1"/>
    <w:lvl w:ilvl="0" w:tentative="0">
      <w:start w:val="1"/>
      <w:numFmt w:val="decimal"/>
      <w:suff w:val="nothing"/>
      <w:lvlText w:val="%1）"/>
      <w:lvlJc w:val="left"/>
    </w:lvl>
  </w:abstractNum>
  <w:abstractNum w:abstractNumId="13">
    <w:nsid w:val="35B2BE30"/>
    <w:multiLevelType w:val="singleLevel"/>
    <w:tmpl w:val="35B2BE30"/>
    <w:lvl w:ilvl="0" w:tentative="0">
      <w:start w:val="1"/>
      <w:numFmt w:val="decimal"/>
      <w:suff w:val="nothing"/>
      <w:lvlText w:val="%1、"/>
      <w:lvlJc w:val="left"/>
      <w:rPr>
        <w:rFonts w:hint="default"/>
        <w:color w:val="auto"/>
      </w:rPr>
    </w:lvl>
  </w:abstractNum>
  <w:abstractNum w:abstractNumId="14">
    <w:nsid w:val="41C29FA8"/>
    <w:multiLevelType w:val="singleLevel"/>
    <w:tmpl w:val="41C29FA8"/>
    <w:lvl w:ilvl="0" w:tentative="0">
      <w:start w:val="1"/>
      <w:numFmt w:val="decimal"/>
      <w:suff w:val="nothing"/>
      <w:lvlText w:val="%1、"/>
      <w:lvlJc w:val="left"/>
    </w:lvl>
  </w:abstractNum>
  <w:abstractNum w:abstractNumId="15">
    <w:nsid w:val="47C90538"/>
    <w:multiLevelType w:val="singleLevel"/>
    <w:tmpl w:val="47C90538"/>
    <w:lvl w:ilvl="0" w:tentative="0">
      <w:start w:val="1"/>
      <w:numFmt w:val="decimal"/>
      <w:suff w:val="nothing"/>
      <w:lvlText w:val="%1、"/>
      <w:lvlJc w:val="left"/>
    </w:lvl>
  </w:abstractNum>
  <w:abstractNum w:abstractNumId="16">
    <w:nsid w:val="60FB2289"/>
    <w:multiLevelType w:val="singleLevel"/>
    <w:tmpl w:val="60FB2289"/>
    <w:lvl w:ilvl="0" w:tentative="0">
      <w:start w:val="1"/>
      <w:numFmt w:val="decimal"/>
      <w:suff w:val="nothing"/>
      <w:lvlText w:val="%1、"/>
      <w:lvlJc w:val="left"/>
    </w:lvl>
  </w:abstractNum>
  <w:abstractNum w:abstractNumId="17">
    <w:nsid w:val="6CD414E6"/>
    <w:multiLevelType w:val="multilevel"/>
    <w:tmpl w:val="6CD414E6"/>
    <w:lvl w:ilvl="0" w:tentative="0">
      <w:start w:val="1"/>
      <w:numFmt w:val="decimal"/>
      <w:lvlText w:val="第%1章"/>
      <w:lvlJc w:val="left"/>
      <w:pPr>
        <w:tabs>
          <w:tab w:val="left" w:pos="432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ligatures w14:val="none"/>
        <w14:numForm w14:val="default"/>
        <w14:numSpacing w14:val="default"/>
      </w:r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4"/>
        <w:szCs w:val="32"/>
        <w:u w:val="none"/>
      </w:rPr>
    </w:lvl>
    <w:lvl w:ilvl="2" w:tentative="0">
      <w:start w:val="1"/>
      <w:numFmt w:val="decimal"/>
      <w:suff w:val="space"/>
      <w:lvlText w:val="%1.%2.%3"/>
      <w:lvlJc w:val="left"/>
      <w:pPr>
        <w:tabs>
          <w:tab w:val="left" w:pos="578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ligatures w14:val="none"/>
        <w14:numForm w14:val="default"/>
        <w14:numSpacing w14:val="default"/>
      </w:rPr>
    </w:lvl>
    <w:lvl w:ilvl="3" w:tentative="0">
      <w:start w:val="1"/>
      <w:numFmt w:val="decimal"/>
      <w:suff w:val="space"/>
      <w:lvlText w:val="%1.%2.%3.%4"/>
      <w:lvlJc w:val="left"/>
      <w:pPr>
        <w:tabs>
          <w:tab w:val="left" w:pos="7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8"/>
        <w:u w:val="none"/>
      </w:rPr>
    </w:lvl>
    <w:lvl w:ilvl="4" w:tentative="0">
      <w:start w:val="1"/>
      <w:numFmt w:val="decimal"/>
      <w:suff w:val="space"/>
      <w:lvlText w:val="%1.%2.%3.%4.%5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8"/>
        <w:u w:val="none"/>
      </w:rPr>
    </w:lvl>
    <w:lvl w:ilvl="5" w:tentative="0">
      <w:start w:val="1"/>
      <w:numFmt w:val="decimal"/>
      <w:suff w:val="space"/>
      <w:lvlText w:val="%1.%2.%3.%4.%5.%6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1"/>
        <w:u w:val="none"/>
        <w:vertAlign w:val="baseline"/>
        <w14:shadow w14:blurRad="0" w14:dist="0" w14:dir="0" w14:sx="0" w14:sy="0" w14:kx="0" w14:ky="0" w14:algn="none">
          <w14:srgbClr w14:val="000000"/>
        </w14:shadow>
        <w14:ligatures w14:val="none"/>
        <w14:numForm w14:val="default"/>
        <w14:numSpacing w14:val="default"/>
      </w:rPr>
    </w:lvl>
    <w:lvl w:ilvl="6" w:tentative="0">
      <w:start w:val="1"/>
      <w:numFmt w:val="decimal"/>
      <w:pStyle w:val="10"/>
      <w:suff w:val="space"/>
      <w:lvlText w:val="%1.%2.%3.%4.%5.%6.%7"/>
      <w:lvlJc w:val="left"/>
      <w:pPr>
        <w:tabs>
          <w:tab w:val="left" w:pos="0"/>
        </w:tabs>
        <w:ind w:left="0" w:firstLine="0"/>
      </w:pPr>
      <w:rPr>
        <w:rFonts w:hint="default" w:ascii="宋体" w:hAnsi="宋体" w:eastAsia="宋体" w:cs="宋体"/>
        <w:b/>
        <w:i w:val="0"/>
        <w:color w:val="auto"/>
        <w:spacing w:val="0"/>
        <w:w w:val="100"/>
        <w:position w:val="0"/>
        <w:sz w:val="21"/>
        <w:szCs w:val="24"/>
        <w:u w:val="none"/>
      </w:rPr>
    </w:lvl>
    <w:lvl w:ilvl="7" w:tentative="0">
      <w:start w:val="1"/>
      <w:numFmt w:val="decimal"/>
      <w:pStyle w:val="11"/>
      <w:suff w:val="space"/>
      <w:lvlText w:val="%1.%2.%3.%4.%5.%6.%7.%8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4"/>
        <w:u w:val="none"/>
      </w:rPr>
    </w:lvl>
    <w:lvl w:ilvl="8" w:tentative="0">
      <w:start w:val="1"/>
      <w:numFmt w:val="decimal"/>
      <w:pStyle w:val="12"/>
      <w:suff w:val="space"/>
      <w:lvlText w:val="%1.%2.%3.%4.%5.%6.%7.%8.%9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  <w:b/>
        <w:i w:val="0"/>
        <w:snapToGrid/>
        <w:color w:val="auto"/>
        <w:spacing w:val="0"/>
        <w:w w:val="100"/>
        <w:kern w:val="0"/>
        <w:position w:val="0"/>
        <w:sz w:val="21"/>
        <w:szCs w:val="24"/>
        <w:u w:val="none"/>
      </w:rPr>
    </w:lvl>
  </w:abstractNum>
  <w:num w:numId="1">
    <w:abstractNumId w:val="0"/>
  </w:num>
  <w:num w:numId="2">
    <w:abstractNumId w:val="1"/>
  </w:num>
  <w:num w:numId="3">
    <w:abstractNumId w:val="17"/>
  </w:num>
  <w:num w:numId="4">
    <w:abstractNumId w:val="10"/>
  </w:num>
  <w:num w:numId="5">
    <w:abstractNumId w:val="6"/>
  </w:num>
  <w:num w:numId="6">
    <w:abstractNumId w:val="9"/>
  </w:num>
  <w:num w:numId="7">
    <w:abstractNumId w:val="15"/>
  </w:num>
  <w:num w:numId="8">
    <w:abstractNumId w:val="2"/>
  </w:num>
  <w:num w:numId="9">
    <w:abstractNumId w:val="11"/>
  </w:num>
  <w:num w:numId="10">
    <w:abstractNumId w:val="4"/>
  </w:num>
  <w:num w:numId="11">
    <w:abstractNumId w:val="14"/>
  </w:num>
  <w:num w:numId="12">
    <w:abstractNumId w:val="16"/>
  </w:num>
  <w:num w:numId="13">
    <w:abstractNumId w:val="3"/>
  </w:num>
  <w:num w:numId="14">
    <w:abstractNumId w:val="7"/>
  </w:num>
  <w:num w:numId="15">
    <w:abstractNumId w:val="13"/>
  </w:num>
  <w:num w:numId="16">
    <w:abstractNumId w:val="8"/>
  </w:num>
  <w:num w:numId="17">
    <w:abstractNumId w:val="5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NlMjA3M2M2ZjFlOWZkMWYxOTk3NWZjMDFmNTI0MmQifQ=="/>
  </w:docVars>
  <w:rsids>
    <w:rsidRoot w:val="005E6D95"/>
    <w:rsid w:val="000000C5"/>
    <w:rsid w:val="000161C5"/>
    <w:rsid w:val="000214A3"/>
    <w:rsid w:val="000218A7"/>
    <w:rsid w:val="000321CC"/>
    <w:rsid w:val="00032E35"/>
    <w:rsid w:val="0003316E"/>
    <w:rsid w:val="00033CC6"/>
    <w:rsid w:val="00042A4B"/>
    <w:rsid w:val="00061AEB"/>
    <w:rsid w:val="00070D29"/>
    <w:rsid w:val="0008003D"/>
    <w:rsid w:val="000823C4"/>
    <w:rsid w:val="000853E0"/>
    <w:rsid w:val="000878E1"/>
    <w:rsid w:val="000921CD"/>
    <w:rsid w:val="0009595B"/>
    <w:rsid w:val="00096D4D"/>
    <w:rsid w:val="000C63C3"/>
    <w:rsid w:val="000C6E71"/>
    <w:rsid w:val="000D1CF5"/>
    <w:rsid w:val="000D5DFC"/>
    <w:rsid w:val="000E18CF"/>
    <w:rsid w:val="000E316E"/>
    <w:rsid w:val="000F3B84"/>
    <w:rsid w:val="000F54EE"/>
    <w:rsid w:val="000F64A5"/>
    <w:rsid w:val="00103C51"/>
    <w:rsid w:val="0010567B"/>
    <w:rsid w:val="00111CFF"/>
    <w:rsid w:val="00120E3F"/>
    <w:rsid w:val="00121863"/>
    <w:rsid w:val="00131E27"/>
    <w:rsid w:val="00132280"/>
    <w:rsid w:val="00134FEE"/>
    <w:rsid w:val="00143F2D"/>
    <w:rsid w:val="00144F73"/>
    <w:rsid w:val="00151BFE"/>
    <w:rsid w:val="00153127"/>
    <w:rsid w:val="00154185"/>
    <w:rsid w:val="00156085"/>
    <w:rsid w:val="00167907"/>
    <w:rsid w:val="00173490"/>
    <w:rsid w:val="0019578A"/>
    <w:rsid w:val="00195F31"/>
    <w:rsid w:val="001A020C"/>
    <w:rsid w:val="001A2F93"/>
    <w:rsid w:val="001A7E2A"/>
    <w:rsid w:val="001B2847"/>
    <w:rsid w:val="001D15FC"/>
    <w:rsid w:val="001D3149"/>
    <w:rsid w:val="001D6C4F"/>
    <w:rsid w:val="001E7F46"/>
    <w:rsid w:val="001F0CB8"/>
    <w:rsid w:val="001F4B31"/>
    <w:rsid w:val="0020051D"/>
    <w:rsid w:val="0021032A"/>
    <w:rsid w:val="00212157"/>
    <w:rsid w:val="00212D8F"/>
    <w:rsid w:val="0021526F"/>
    <w:rsid w:val="00221F0B"/>
    <w:rsid w:val="0022312D"/>
    <w:rsid w:val="00230A4B"/>
    <w:rsid w:val="00230B02"/>
    <w:rsid w:val="00247D6D"/>
    <w:rsid w:val="00250D31"/>
    <w:rsid w:val="00252CD2"/>
    <w:rsid w:val="00253AED"/>
    <w:rsid w:val="00270202"/>
    <w:rsid w:val="00273923"/>
    <w:rsid w:val="00275909"/>
    <w:rsid w:val="00285768"/>
    <w:rsid w:val="002947D0"/>
    <w:rsid w:val="00295A5B"/>
    <w:rsid w:val="002A574B"/>
    <w:rsid w:val="002B6C65"/>
    <w:rsid w:val="002C10D5"/>
    <w:rsid w:val="002D48A0"/>
    <w:rsid w:val="002E18CF"/>
    <w:rsid w:val="002E18F2"/>
    <w:rsid w:val="00320202"/>
    <w:rsid w:val="003212E5"/>
    <w:rsid w:val="00324582"/>
    <w:rsid w:val="00325122"/>
    <w:rsid w:val="003263A4"/>
    <w:rsid w:val="00337E96"/>
    <w:rsid w:val="00341A1D"/>
    <w:rsid w:val="0034546B"/>
    <w:rsid w:val="003471D2"/>
    <w:rsid w:val="003500DB"/>
    <w:rsid w:val="00351DD9"/>
    <w:rsid w:val="00363536"/>
    <w:rsid w:val="00366878"/>
    <w:rsid w:val="003757BC"/>
    <w:rsid w:val="003851AD"/>
    <w:rsid w:val="00392E7B"/>
    <w:rsid w:val="003A09A0"/>
    <w:rsid w:val="003C0CAE"/>
    <w:rsid w:val="003C26F7"/>
    <w:rsid w:val="003D2D92"/>
    <w:rsid w:val="003D51F8"/>
    <w:rsid w:val="003E1642"/>
    <w:rsid w:val="003E19BF"/>
    <w:rsid w:val="003F0590"/>
    <w:rsid w:val="003F5639"/>
    <w:rsid w:val="003F7836"/>
    <w:rsid w:val="00400530"/>
    <w:rsid w:val="00406554"/>
    <w:rsid w:val="00407F47"/>
    <w:rsid w:val="00410189"/>
    <w:rsid w:val="00413A06"/>
    <w:rsid w:val="00414629"/>
    <w:rsid w:val="004202E6"/>
    <w:rsid w:val="00431232"/>
    <w:rsid w:val="00457596"/>
    <w:rsid w:val="004577A0"/>
    <w:rsid w:val="00467163"/>
    <w:rsid w:val="00470C09"/>
    <w:rsid w:val="00487D1B"/>
    <w:rsid w:val="00490F81"/>
    <w:rsid w:val="004910A7"/>
    <w:rsid w:val="00492CA2"/>
    <w:rsid w:val="00493C6C"/>
    <w:rsid w:val="004A108E"/>
    <w:rsid w:val="004A65F6"/>
    <w:rsid w:val="004B4EEA"/>
    <w:rsid w:val="004B7E90"/>
    <w:rsid w:val="004C03B8"/>
    <w:rsid w:val="004C34F5"/>
    <w:rsid w:val="004C5234"/>
    <w:rsid w:val="004C5725"/>
    <w:rsid w:val="004E3744"/>
    <w:rsid w:val="004F6012"/>
    <w:rsid w:val="004F72DA"/>
    <w:rsid w:val="00510397"/>
    <w:rsid w:val="00514045"/>
    <w:rsid w:val="0051411B"/>
    <w:rsid w:val="00514296"/>
    <w:rsid w:val="0051607D"/>
    <w:rsid w:val="00524105"/>
    <w:rsid w:val="00526672"/>
    <w:rsid w:val="005300AF"/>
    <w:rsid w:val="005536E2"/>
    <w:rsid w:val="005754F0"/>
    <w:rsid w:val="00577A43"/>
    <w:rsid w:val="00586C12"/>
    <w:rsid w:val="00586F8D"/>
    <w:rsid w:val="0058732E"/>
    <w:rsid w:val="00587763"/>
    <w:rsid w:val="00593576"/>
    <w:rsid w:val="005A688B"/>
    <w:rsid w:val="005C08CD"/>
    <w:rsid w:val="005C5332"/>
    <w:rsid w:val="005E1C9E"/>
    <w:rsid w:val="005E6BBA"/>
    <w:rsid w:val="005E6D95"/>
    <w:rsid w:val="005F4987"/>
    <w:rsid w:val="006048D5"/>
    <w:rsid w:val="00621C54"/>
    <w:rsid w:val="00621ED8"/>
    <w:rsid w:val="00637774"/>
    <w:rsid w:val="006426EC"/>
    <w:rsid w:val="00645A0D"/>
    <w:rsid w:val="00652A0C"/>
    <w:rsid w:val="00655D1C"/>
    <w:rsid w:val="00656918"/>
    <w:rsid w:val="006571DC"/>
    <w:rsid w:val="00664F99"/>
    <w:rsid w:val="00667B59"/>
    <w:rsid w:val="00685535"/>
    <w:rsid w:val="00694752"/>
    <w:rsid w:val="006A3667"/>
    <w:rsid w:val="006A5688"/>
    <w:rsid w:val="006B23FF"/>
    <w:rsid w:val="006B332A"/>
    <w:rsid w:val="006B3E18"/>
    <w:rsid w:val="006D1DC1"/>
    <w:rsid w:val="006D4F04"/>
    <w:rsid w:val="006D7A97"/>
    <w:rsid w:val="006F39D7"/>
    <w:rsid w:val="006F3ACE"/>
    <w:rsid w:val="0071127D"/>
    <w:rsid w:val="00721CF2"/>
    <w:rsid w:val="00723D97"/>
    <w:rsid w:val="00724F4E"/>
    <w:rsid w:val="00732233"/>
    <w:rsid w:val="0073506F"/>
    <w:rsid w:val="00735820"/>
    <w:rsid w:val="007423C4"/>
    <w:rsid w:val="00745781"/>
    <w:rsid w:val="00752074"/>
    <w:rsid w:val="00760FE9"/>
    <w:rsid w:val="007664FB"/>
    <w:rsid w:val="00775C34"/>
    <w:rsid w:val="00780849"/>
    <w:rsid w:val="00784B5E"/>
    <w:rsid w:val="00786AE9"/>
    <w:rsid w:val="007A3FA7"/>
    <w:rsid w:val="007D377F"/>
    <w:rsid w:val="007E0A14"/>
    <w:rsid w:val="007E4656"/>
    <w:rsid w:val="007F1283"/>
    <w:rsid w:val="007F12C8"/>
    <w:rsid w:val="00803081"/>
    <w:rsid w:val="00803D40"/>
    <w:rsid w:val="00805B51"/>
    <w:rsid w:val="0080642D"/>
    <w:rsid w:val="00806B8A"/>
    <w:rsid w:val="00810A95"/>
    <w:rsid w:val="0082438F"/>
    <w:rsid w:val="00824FE8"/>
    <w:rsid w:val="00833133"/>
    <w:rsid w:val="008351FD"/>
    <w:rsid w:val="0083574E"/>
    <w:rsid w:val="00842130"/>
    <w:rsid w:val="00842422"/>
    <w:rsid w:val="00842A0F"/>
    <w:rsid w:val="0085284B"/>
    <w:rsid w:val="00854C38"/>
    <w:rsid w:val="00856D87"/>
    <w:rsid w:val="00864E74"/>
    <w:rsid w:val="00883BE4"/>
    <w:rsid w:val="008A0445"/>
    <w:rsid w:val="008A7090"/>
    <w:rsid w:val="008B3793"/>
    <w:rsid w:val="008B4EF0"/>
    <w:rsid w:val="008B4F6F"/>
    <w:rsid w:val="008C0A70"/>
    <w:rsid w:val="008C0E74"/>
    <w:rsid w:val="008C287B"/>
    <w:rsid w:val="008C2D96"/>
    <w:rsid w:val="008C46C4"/>
    <w:rsid w:val="008C5D8E"/>
    <w:rsid w:val="008D411D"/>
    <w:rsid w:val="008D759E"/>
    <w:rsid w:val="008F0D45"/>
    <w:rsid w:val="008F49CB"/>
    <w:rsid w:val="00900FBA"/>
    <w:rsid w:val="0090295D"/>
    <w:rsid w:val="009331DB"/>
    <w:rsid w:val="00934D01"/>
    <w:rsid w:val="00944D43"/>
    <w:rsid w:val="00946C39"/>
    <w:rsid w:val="00950D59"/>
    <w:rsid w:val="00951778"/>
    <w:rsid w:val="00952C1F"/>
    <w:rsid w:val="009547F5"/>
    <w:rsid w:val="00960E3E"/>
    <w:rsid w:val="0096330D"/>
    <w:rsid w:val="00974470"/>
    <w:rsid w:val="0098797D"/>
    <w:rsid w:val="00990D67"/>
    <w:rsid w:val="00991448"/>
    <w:rsid w:val="00993D75"/>
    <w:rsid w:val="009A092D"/>
    <w:rsid w:val="009A0C83"/>
    <w:rsid w:val="009A1128"/>
    <w:rsid w:val="009A2342"/>
    <w:rsid w:val="009A571B"/>
    <w:rsid w:val="009A7CD2"/>
    <w:rsid w:val="009B6E34"/>
    <w:rsid w:val="009C0811"/>
    <w:rsid w:val="009C4A84"/>
    <w:rsid w:val="009C6DAC"/>
    <w:rsid w:val="009F0696"/>
    <w:rsid w:val="009F3A95"/>
    <w:rsid w:val="00A04CE6"/>
    <w:rsid w:val="00A17DB0"/>
    <w:rsid w:val="00A20446"/>
    <w:rsid w:val="00A20B4C"/>
    <w:rsid w:val="00A20D68"/>
    <w:rsid w:val="00A21BFF"/>
    <w:rsid w:val="00A21CC0"/>
    <w:rsid w:val="00A3303C"/>
    <w:rsid w:val="00A44B47"/>
    <w:rsid w:val="00A54959"/>
    <w:rsid w:val="00A71F96"/>
    <w:rsid w:val="00A757E7"/>
    <w:rsid w:val="00A76C58"/>
    <w:rsid w:val="00A77141"/>
    <w:rsid w:val="00AA1E95"/>
    <w:rsid w:val="00AA555F"/>
    <w:rsid w:val="00AA6AED"/>
    <w:rsid w:val="00AA7068"/>
    <w:rsid w:val="00AC072E"/>
    <w:rsid w:val="00AD1352"/>
    <w:rsid w:val="00AE449B"/>
    <w:rsid w:val="00AE544C"/>
    <w:rsid w:val="00B0168E"/>
    <w:rsid w:val="00B120C3"/>
    <w:rsid w:val="00B12962"/>
    <w:rsid w:val="00B14A68"/>
    <w:rsid w:val="00B23C39"/>
    <w:rsid w:val="00B45A5D"/>
    <w:rsid w:val="00B45B97"/>
    <w:rsid w:val="00B501AB"/>
    <w:rsid w:val="00B57D54"/>
    <w:rsid w:val="00B60840"/>
    <w:rsid w:val="00B62877"/>
    <w:rsid w:val="00B64570"/>
    <w:rsid w:val="00B64757"/>
    <w:rsid w:val="00B64DFC"/>
    <w:rsid w:val="00B71D0F"/>
    <w:rsid w:val="00B72B9C"/>
    <w:rsid w:val="00B76EA9"/>
    <w:rsid w:val="00B819F6"/>
    <w:rsid w:val="00B9162F"/>
    <w:rsid w:val="00B975AA"/>
    <w:rsid w:val="00BA2333"/>
    <w:rsid w:val="00BB5AB0"/>
    <w:rsid w:val="00BC06E0"/>
    <w:rsid w:val="00BC31B4"/>
    <w:rsid w:val="00BC3C87"/>
    <w:rsid w:val="00BD2BAE"/>
    <w:rsid w:val="00BD4E3F"/>
    <w:rsid w:val="00BD6C31"/>
    <w:rsid w:val="00C0397F"/>
    <w:rsid w:val="00C10DA1"/>
    <w:rsid w:val="00C1311F"/>
    <w:rsid w:val="00C1378E"/>
    <w:rsid w:val="00C32B4E"/>
    <w:rsid w:val="00C40372"/>
    <w:rsid w:val="00C40A0A"/>
    <w:rsid w:val="00C53FCA"/>
    <w:rsid w:val="00C643E2"/>
    <w:rsid w:val="00C73761"/>
    <w:rsid w:val="00C76337"/>
    <w:rsid w:val="00C80BEE"/>
    <w:rsid w:val="00C86FC7"/>
    <w:rsid w:val="00C924DD"/>
    <w:rsid w:val="00C9290B"/>
    <w:rsid w:val="00CA0382"/>
    <w:rsid w:val="00CA04B1"/>
    <w:rsid w:val="00CA5FC9"/>
    <w:rsid w:val="00CA67B9"/>
    <w:rsid w:val="00CA6C0F"/>
    <w:rsid w:val="00CB76F2"/>
    <w:rsid w:val="00CB7B29"/>
    <w:rsid w:val="00CC2857"/>
    <w:rsid w:val="00CC5297"/>
    <w:rsid w:val="00CC6C05"/>
    <w:rsid w:val="00CC7A4C"/>
    <w:rsid w:val="00CE4F3F"/>
    <w:rsid w:val="00CE6412"/>
    <w:rsid w:val="00D04CFA"/>
    <w:rsid w:val="00D06CE0"/>
    <w:rsid w:val="00D11C10"/>
    <w:rsid w:val="00D23EF2"/>
    <w:rsid w:val="00D306E1"/>
    <w:rsid w:val="00D373D1"/>
    <w:rsid w:val="00D408CD"/>
    <w:rsid w:val="00D41B86"/>
    <w:rsid w:val="00D438C2"/>
    <w:rsid w:val="00D47217"/>
    <w:rsid w:val="00D478DE"/>
    <w:rsid w:val="00D5470A"/>
    <w:rsid w:val="00D60B68"/>
    <w:rsid w:val="00D76886"/>
    <w:rsid w:val="00D774CC"/>
    <w:rsid w:val="00D953B7"/>
    <w:rsid w:val="00DB1691"/>
    <w:rsid w:val="00DB5B84"/>
    <w:rsid w:val="00DB7326"/>
    <w:rsid w:val="00DC2360"/>
    <w:rsid w:val="00DD08FF"/>
    <w:rsid w:val="00DD1C85"/>
    <w:rsid w:val="00DD368C"/>
    <w:rsid w:val="00DE0D93"/>
    <w:rsid w:val="00DE38C1"/>
    <w:rsid w:val="00DE6701"/>
    <w:rsid w:val="00DE6D5E"/>
    <w:rsid w:val="00DF42F0"/>
    <w:rsid w:val="00DF6853"/>
    <w:rsid w:val="00E163A3"/>
    <w:rsid w:val="00E20209"/>
    <w:rsid w:val="00E25AE6"/>
    <w:rsid w:val="00E277D8"/>
    <w:rsid w:val="00E35BC2"/>
    <w:rsid w:val="00E40DB0"/>
    <w:rsid w:val="00E429C6"/>
    <w:rsid w:val="00E53F42"/>
    <w:rsid w:val="00E54C93"/>
    <w:rsid w:val="00E56281"/>
    <w:rsid w:val="00E56E8E"/>
    <w:rsid w:val="00E72ADE"/>
    <w:rsid w:val="00E82513"/>
    <w:rsid w:val="00E86716"/>
    <w:rsid w:val="00EA064C"/>
    <w:rsid w:val="00EA59F6"/>
    <w:rsid w:val="00EC2615"/>
    <w:rsid w:val="00ED674A"/>
    <w:rsid w:val="00EE1927"/>
    <w:rsid w:val="00EF5A4F"/>
    <w:rsid w:val="00F11651"/>
    <w:rsid w:val="00F158E9"/>
    <w:rsid w:val="00F173C4"/>
    <w:rsid w:val="00F230E1"/>
    <w:rsid w:val="00F45049"/>
    <w:rsid w:val="00F45BD9"/>
    <w:rsid w:val="00F504FF"/>
    <w:rsid w:val="00F52B29"/>
    <w:rsid w:val="00F5437A"/>
    <w:rsid w:val="00F603B2"/>
    <w:rsid w:val="00F609A8"/>
    <w:rsid w:val="00F60B86"/>
    <w:rsid w:val="00F639F5"/>
    <w:rsid w:val="00F64180"/>
    <w:rsid w:val="00F72F5A"/>
    <w:rsid w:val="00F750D4"/>
    <w:rsid w:val="00F7722F"/>
    <w:rsid w:val="00F94CE0"/>
    <w:rsid w:val="00FA23FE"/>
    <w:rsid w:val="00FA7FEF"/>
    <w:rsid w:val="00FC20A7"/>
    <w:rsid w:val="00FC27F9"/>
    <w:rsid w:val="00FC2F43"/>
    <w:rsid w:val="00FC58C3"/>
    <w:rsid w:val="00FE0F9D"/>
    <w:rsid w:val="00FE2108"/>
    <w:rsid w:val="012F3A7F"/>
    <w:rsid w:val="01B3017A"/>
    <w:rsid w:val="02394781"/>
    <w:rsid w:val="03351F2E"/>
    <w:rsid w:val="03A467F3"/>
    <w:rsid w:val="03A9596E"/>
    <w:rsid w:val="03B420C9"/>
    <w:rsid w:val="042325CE"/>
    <w:rsid w:val="04477859"/>
    <w:rsid w:val="04BD3170"/>
    <w:rsid w:val="04E2725D"/>
    <w:rsid w:val="05006E12"/>
    <w:rsid w:val="06852909"/>
    <w:rsid w:val="06E81E0E"/>
    <w:rsid w:val="06FF62ED"/>
    <w:rsid w:val="07A1136F"/>
    <w:rsid w:val="07C00A58"/>
    <w:rsid w:val="07CA39B5"/>
    <w:rsid w:val="07D53519"/>
    <w:rsid w:val="07DB67FB"/>
    <w:rsid w:val="08AF2D38"/>
    <w:rsid w:val="09813BAE"/>
    <w:rsid w:val="099B68C7"/>
    <w:rsid w:val="09B04F53"/>
    <w:rsid w:val="09CD6ADE"/>
    <w:rsid w:val="0A227D10"/>
    <w:rsid w:val="0A623B09"/>
    <w:rsid w:val="0AE72D17"/>
    <w:rsid w:val="0AF03CFB"/>
    <w:rsid w:val="0AF769D2"/>
    <w:rsid w:val="0B2D14AE"/>
    <w:rsid w:val="0B3501C0"/>
    <w:rsid w:val="0B4D72ED"/>
    <w:rsid w:val="0B792C38"/>
    <w:rsid w:val="0BC32F55"/>
    <w:rsid w:val="0C24583E"/>
    <w:rsid w:val="0C286CAD"/>
    <w:rsid w:val="0C475158"/>
    <w:rsid w:val="0C58456B"/>
    <w:rsid w:val="0C7451AE"/>
    <w:rsid w:val="0CC92C66"/>
    <w:rsid w:val="0CF228F1"/>
    <w:rsid w:val="0D0417A2"/>
    <w:rsid w:val="0D064AFD"/>
    <w:rsid w:val="0D0C310F"/>
    <w:rsid w:val="0D127EE3"/>
    <w:rsid w:val="0D3E1EC0"/>
    <w:rsid w:val="0DDE36FD"/>
    <w:rsid w:val="0DE819AF"/>
    <w:rsid w:val="0E5059E2"/>
    <w:rsid w:val="0E786196"/>
    <w:rsid w:val="0E7C0AF8"/>
    <w:rsid w:val="0EAC758F"/>
    <w:rsid w:val="0EB365EC"/>
    <w:rsid w:val="0ED171CA"/>
    <w:rsid w:val="0EE53FB5"/>
    <w:rsid w:val="0EF30AB0"/>
    <w:rsid w:val="0F9A267E"/>
    <w:rsid w:val="0FE41660"/>
    <w:rsid w:val="10694F37"/>
    <w:rsid w:val="1079110B"/>
    <w:rsid w:val="10AA32FC"/>
    <w:rsid w:val="10D7582B"/>
    <w:rsid w:val="10E37CCB"/>
    <w:rsid w:val="112D4C11"/>
    <w:rsid w:val="11631E9D"/>
    <w:rsid w:val="11633575"/>
    <w:rsid w:val="11786165"/>
    <w:rsid w:val="11A67FD2"/>
    <w:rsid w:val="11C0789C"/>
    <w:rsid w:val="12215B15"/>
    <w:rsid w:val="122359BE"/>
    <w:rsid w:val="122D02D9"/>
    <w:rsid w:val="12443874"/>
    <w:rsid w:val="126447D9"/>
    <w:rsid w:val="12710C70"/>
    <w:rsid w:val="12AB1546"/>
    <w:rsid w:val="12CE12B5"/>
    <w:rsid w:val="130050FC"/>
    <w:rsid w:val="13224875"/>
    <w:rsid w:val="13761CE4"/>
    <w:rsid w:val="13854B43"/>
    <w:rsid w:val="13916631"/>
    <w:rsid w:val="13D91E80"/>
    <w:rsid w:val="13EE59DD"/>
    <w:rsid w:val="143759AA"/>
    <w:rsid w:val="144D660C"/>
    <w:rsid w:val="146861A2"/>
    <w:rsid w:val="146C0D99"/>
    <w:rsid w:val="14B74076"/>
    <w:rsid w:val="14E861AF"/>
    <w:rsid w:val="15D9578F"/>
    <w:rsid w:val="15F068E9"/>
    <w:rsid w:val="1643557C"/>
    <w:rsid w:val="167D7F1C"/>
    <w:rsid w:val="16833E99"/>
    <w:rsid w:val="1689166C"/>
    <w:rsid w:val="169C51BD"/>
    <w:rsid w:val="16A83E9A"/>
    <w:rsid w:val="16B8788D"/>
    <w:rsid w:val="16C9382B"/>
    <w:rsid w:val="16DB2625"/>
    <w:rsid w:val="176531A5"/>
    <w:rsid w:val="1770769A"/>
    <w:rsid w:val="17EA0A1A"/>
    <w:rsid w:val="17EE7098"/>
    <w:rsid w:val="182E41D5"/>
    <w:rsid w:val="183F262D"/>
    <w:rsid w:val="18596C7D"/>
    <w:rsid w:val="187F582C"/>
    <w:rsid w:val="188501DA"/>
    <w:rsid w:val="188879BB"/>
    <w:rsid w:val="189B3C8E"/>
    <w:rsid w:val="18AE11FE"/>
    <w:rsid w:val="18BA4890"/>
    <w:rsid w:val="18DC6A9A"/>
    <w:rsid w:val="18F46DFD"/>
    <w:rsid w:val="18FD1883"/>
    <w:rsid w:val="191B532F"/>
    <w:rsid w:val="19526EA1"/>
    <w:rsid w:val="197B4878"/>
    <w:rsid w:val="19AD4F57"/>
    <w:rsid w:val="19E06684"/>
    <w:rsid w:val="19EA50CF"/>
    <w:rsid w:val="1A293A7B"/>
    <w:rsid w:val="1A2D5452"/>
    <w:rsid w:val="1A365C76"/>
    <w:rsid w:val="1A432B1B"/>
    <w:rsid w:val="1A956556"/>
    <w:rsid w:val="1B252495"/>
    <w:rsid w:val="1B3F77A3"/>
    <w:rsid w:val="1B5C033D"/>
    <w:rsid w:val="1B811852"/>
    <w:rsid w:val="1B8F374F"/>
    <w:rsid w:val="1BE15634"/>
    <w:rsid w:val="1C321B2D"/>
    <w:rsid w:val="1C3E06E4"/>
    <w:rsid w:val="1C704EFA"/>
    <w:rsid w:val="1CA77C43"/>
    <w:rsid w:val="1CE065DA"/>
    <w:rsid w:val="1CE307A3"/>
    <w:rsid w:val="1DF75E44"/>
    <w:rsid w:val="1E5A7302"/>
    <w:rsid w:val="1E5E3CE4"/>
    <w:rsid w:val="1EC574E9"/>
    <w:rsid w:val="1EE23A3E"/>
    <w:rsid w:val="1F046865"/>
    <w:rsid w:val="1F3738CB"/>
    <w:rsid w:val="1F7D4833"/>
    <w:rsid w:val="1F80480E"/>
    <w:rsid w:val="1F8575E2"/>
    <w:rsid w:val="1F9127B3"/>
    <w:rsid w:val="1FDF4104"/>
    <w:rsid w:val="20186B5E"/>
    <w:rsid w:val="202A24A9"/>
    <w:rsid w:val="203B62B7"/>
    <w:rsid w:val="205C3A27"/>
    <w:rsid w:val="21771A86"/>
    <w:rsid w:val="218D0B89"/>
    <w:rsid w:val="21A05FD0"/>
    <w:rsid w:val="21CD65E3"/>
    <w:rsid w:val="22365CE8"/>
    <w:rsid w:val="22D53B12"/>
    <w:rsid w:val="234B0BCE"/>
    <w:rsid w:val="23727183"/>
    <w:rsid w:val="23975FC0"/>
    <w:rsid w:val="23D12719"/>
    <w:rsid w:val="24A81A41"/>
    <w:rsid w:val="24EE3648"/>
    <w:rsid w:val="251A1F8F"/>
    <w:rsid w:val="253A712A"/>
    <w:rsid w:val="253E3ACA"/>
    <w:rsid w:val="25A054A5"/>
    <w:rsid w:val="25D5416A"/>
    <w:rsid w:val="25DC7AFE"/>
    <w:rsid w:val="26082DCD"/>
    <w:rsid w:val="26303855"/>
    <w:rsid w:val="263F63D5"/>
    <w:rsid w:val="267D6B72"/>
    <w:rsid w:val="267E7EE2"/>
    <w:rsid w:val="268931AA"/>
    <w:rsid w:val="26C23BA0"/>
    <w:rsid w:val="26C83D85"/>
    <w:rsid w:val="26E87752"/>
    <w:rsid w:val="26FE4844"/>
    <w:rsid w:val="27F83433"/>
    <w:rsid w:val="2853768C"/>
    <w:rsid w:val="28634BC3"/>
    <w:rsid w:val="28641CF0"/>
    <w:rsid w:val="28C04BAD"/>
    <w:rsid w:val="28C94B88"/>
    <w:rsid w:val="28CA369C"/>
    <w:rsid w:val="28CC6A0C"/>
    <w:rsid w:val="28F96A03"/>
    <w:rsid w:val="29217F2F"/>
    <w:rsid w:val="29CD6045"/>
    <w:rsid w:val="2A4D2430"/>
    <w:rsid w:val="2A54739A"/>
    <w:rsid w:val="2AD2620E"/>
    <w:rsid w:val="2ADA66CC"/>
    <w:rsid w:val="2AF00C18"/>
    <w:rsid w:val="2B451771"/>
    <w:rsid w:val="2B754C27"/>
    <w:rsid w:val="2B822FEC"/>
    <w:rsid w:val="2B9B4B83"/>
    <w:rsid w:val="2BB533C1"/>
    <w:rsid w:val="2C0559CB"/>
    <w:rsid w:val="2C6C46D0"/>
    <w:rsid w:val="2CA77DEB"/>
    <w:rsid w:val="2CAF3552"/>
    <w:rsid w:val="2CDA4378"/>
    <w:rsid w:val="2CE7502C"/>
    <w:rsid w:val="2D1112E7"/>
    <w:rsid w:val="2D225933"/>
    <w:rsid w:val="2D5920CA"/>
    <w:rsid w:val="2D7430CC"/>
    <w:rsid w:val="2DB63EC1"/>
    <w:rsid w:val="2DE24215"/>
    <w:rsid w:val="2DEC6710"/>
    <w:rsid w:val="2E3C04AB"/>
    <w:rsid w:val="2E400F46"/>
    <w:rsid w:val="2E877D35"/>
    <w:rsid w:val="2EC0114E"/>
    <w:rsid w:val="2ED630C0"/>
    <w:rsid w:val="2EFA7EAB"/>
    <w:rsid w:val="2F320F3A"/>
    <w:rsid w:val="2FAE762C"/>
    <w:rsid w:val="2FE605CC"/>
    <w:rsid w:val="2FFF2404"/>
    <w:rsid w:val="30256E56"/>
    <w:rsid w:val="302B4483"/>
    <w:rsid w:val="30446AC1"/>
    <w:rsid w:val="304F2F3B"/>
    <w:rsid w:val="30526F2D"/>
    <w:rsid w:val="309F176E"/>
    <w:rsid w:val="30D04370"/>
    <w:rsid w:val="30D24AF6"/>
    <w:rsid w:val="30E61044"/>
    <w:rsid w:val="31364808"/>
    <w:rsid w:val="31737CCF"/>
    <w:rsid w:val="318D1842"/>
    <w:rsid w:val="31C12F4C"/>
    <w:rsid w:val="3250010D"/>
    <w:rsid w:val="32AE6B3E"/>
    <w:rsid w:val="32F01C59"/>
    <w:rsid w:val="33254DEB"/>
    <w:rsid w:val="334533EF"/>
    <w:rsid w:val="33831403"/>
    <w:rsid w:val="33A20324"/>
    <w:rsid w:val="34190192"/>
    <w:rsid w:val="34333EE1"/>
    <w:rsid w:val="3469316D"/>
    <w:rsid w:val="34B1049E"/>
    <w:rsid w:val="35FE0132"/>
    <w:rsid w:val="365B414A"/>
    <w:rsid w:val="36695660"/>
    <w:rsid w:val="368343F7"/>
    <w:rsid w:val="369D4DA2"/>
    <w:rsid w:val="36BD0EAC"/>
    <w:rsid w:val="36E942ED"/>
    <w:rsid w:val="37515F65"/>
    <w:rsid w:val="37542BF3"/>
    <w:rsid w:val="37905B7C"/>
    <w:rsid w:val="37A26320"/>
    <w:rsid w:val="37BC0D30"/>
    <w:rsid w:val="37CB1876"/>
    <w:rsid w:val="37DC0EC1"/>
    <w:rsid w:val="37E14A88"/>
    <w:rsid w:val="380B161A"/>
    <w:rsid w:val="382D2906"/>
    <w:rsid w:val="38A5777E"/>
    <w:rsid w:val="38DE5B71"/>
    <w:rsid w:val="38E96F6F"/>
    <w:rsid w:val="390025F6"/>
    <w:rsid w:val="39303A1D"/>
    <w:rsid w:val="393F5CEB"/>
    <w:rsid w:val="39B202E9"/>
    <w:rsid w:val="39BF540B"/>
    <w:rsid w:val="3A0B6F14"/>
    <w:rsid w:val="3A2B284B"/>
    <w:rsid w:val="3A3418CC"/>
    <w:rsid w:val="3A455FF1"/>
    <w:rsid w:val="3AA57DE2"/>
    <w:rsid w:val="3B262B69"/>
    <w:rsid w:val="3B9C3C56"/>
    <w:rsid w:val="3BAD6645"/>
    <w:rsid w:val="3BC543C7"/>
    <w:rsid w:val="3BDF50C7"/>
    <w:rsid w:val="3BFE23B5"/>
    <w:rsid w:val="3C0E214F"/>
    <w:rsid w:val="3C1216DF"/>
    <w:rsid w:val="3D12021E"/>
    <w:rsid w:val="3D764DF9"/>
    <w:rsid w:val="3E077111"/>
    <w:rsid w:val="3E921340"/>
    <w:rsid w:val="3EB6261F"/>
    <w:rsid w:val="3EBB0349"/>
    <w:rsid w:val="3F3D3A4E"/>
    <w:rsid w:val="3F7166A5"/>
    <w:rsid w:val="3FB543FD"/>
    <w:rsid w:val="3FF84355"/>
    <w:rsid w:val="40083832"/>
    <w:rsid w:val="40365E08"/>
    <w:rsid w:val="4056454A"/>
    <w:rsid w:val="405B7F62"/>
    <w:rsid w:val="40713AD5"/>
    <w:rsid w:val="40D32A4C"/>
    <w:rsid w:val="40F61EB1"/>
    <w:rsid w:val="41175B2C"/>
    <w:rsid w:val="41595546"/>
    <w:rsid w:val="41727207"/>
    <w:rsid w:val="41801BF2"/>
    <w:rsid w:val="41DE60F3"/>
    <w:rsid w:val="41E358FE"/>
    <w:rsid w:val="42031C5E"/>
    <w:rsid w:val="4247267B"/>
    <w:rsid w:val="4282620A"/>
    <w:rsid w:val="4287385B"/>
    <w:rsid w:val="428E31A3"/>
    <w:rsid w:val="42C120C3"/>
    <w:rsid w:val="43014502"/>
    <w:rsid w:val="43077B41"/>
    <w:rsid w:val="4320516C"/>
    <w:rsid w:val="4326646F"/>
    <w:rsid w:val="432B244C"/>
    <w:rsid w:val="4352624C"/>
    <w:rsid w:val="436F2697"/>
    <w:rsid w:val="43D72E8F"/>
    <w:rsid w:val="442073EE"/>
    <w:rsid w:val="444661A8"/>
    <w:rsid w:val="44496226"/>
    <w:rsid w:val="44624498"/>
    <w:rsid w:val="44657EFE"/>
    <w:rsid w:val="44751EB7"/>
    <w:rsid w:val="44990671"/>
    <w:rsid w:val="449C2692"/>
    <w:rsid w:val="449D702F"/>
    <w:rsid w:val="44EC71D6"/>
    <w:rsid w:val="44F45C30"/>
    <w:rsid w:val="45600A47"/>
    <w:rsid w:val="4590654A"/>
    <w:rsid w:val="459C76EE"/>
    <w:rsid w:val="460F59FC"/>
    <w:rsid w:val="46633882"/>
    <w:rsid w:val="46816BC7"/>
    <w:rsid w:val="46875359"/>
    <w:rsid w:val="46F740D0"/>
    <w:rsid w:val="47332EA8"/>
    <w:rsid w:val="47346354"/>
    <w:rsid w:val="47956FC9"/>
    <w:rsid w:val="48055A77"/>
    <w:rsid w:val="482C73CE"/>
    <w:rsid w:val="48A319D2"/>
    <w:rsid w:val="48E40C1B"/>
    <w:rsid w:val="48F6071D"/>
    <w:rsid w:val="49C43804"/>
    <w:rsid w:val="49DA7FA3"/>
    <w:rsid w:val="49DC5B65"/>
    <w:rsid w:val="4A262FDB"/>
    <w:rsid w:val="4A4D4348"/>
    <w:rsid w:val="4A6257E1"/>
    <w:rsid w:val="4A745E93"/>
    <w:rsid w:val="4AAA7A11"/>
    <w:rsid w:val="4AAC4947"/>
    <w:rsid w:val="4AC3564E"/>
    <w:rsid w:val="4AC62588"/>
    <w:rsid w:val="4B0E6E44"/>
    <w:rsid w:val="4B1B68C1"/>
    <w:rsid w:val="4B1E1D34"/>
    <w:rsid w:val="4B2C0FE1"/>
    <w:rsid w:val="4B9E713C"/>
    <w:rsid w:val="4BAD0B24"/>
    <w:rsid w:val="4BB5774C"/>
    <w:rsid w:val="4BCA1072"/>
    <w:rsid w:val="4BCE75A2"/>
    <w:rsid w:val="4BD50442"/>
    <w:rsid w:val="4BF20B81"/>
    <w:rsid w:val="4C347EF7"/>
    <w:rsid w:val="4C3C4805"/>
    <w:rsid w:val="4C42741D"/>
    <w:rsid w:val="4C8E0928"/>
    <w:rsid w:val="4C916656"/>
    <w:rsid w:val="4C9B405C"/>
    <w:rsid w:val="4D0E4450"/>
    <w:rsid w:val="4D1156D5"/>
    <w:rsid w:val="4D387556"/>
    <w:rsid w:val="4D426840"/>
    <w:rsid w:val="4D8049FD"/>
    <w:rsid w:val="4D8B6747"/>
    <w:rsid w:val="4DE4611D"/>
    <w:rsid w:val="4E511731"/>
    <w:rsid w:val="4E5214A5"/>
    <w:rsid w:val="4E667798"/>
    <w:rsid w:val="4E6E0039"/>
    <w:rsid w:val="4E7B5546"/>
    <w:rsid w:val="4EA1530D"/>
    <w:rsid w:val="4F13076A"/>
    <w:rsid w:val="4F16290C"/>
    <w:rsid w:val="4F1E3D74"/>
    <w:rsid w:val="4F5904A2"/>
    <w:rsid w:val="4F59638E"/>
    <w:rsid w:val="4FD82B29"/>
    <w:rsid w:val="4FF67B47"/>
    <w:rsid w:val="501B21DB"/>
    <w:rsid w:val="50205D79"/>
    <w:rsid w:val="5076335F"/>
    <w:rsid w:val="50BB22A7"/>
    <w:rsid w:val="50DE7534"/>
    <w:rsid w:val="50EF4211"/>
    <w:rsid w:val="511C0A32"/>
    <w:rsid w:val="51604411"/>
    <w:rsid w:val="51F26A83"/>
    <w:rsid w:val="520469FA"/>
    <w:rsid w:val="52174932"/>
    <w:rsid w:val="521F2A93"/>
    <w:rsid w:val="524460A1"/>
    <w:rsid w:val="52C07C6D"/>
    <w:rsid w:val="52CF7566"/>
    <w:rsid w:val="53244EA8"/>
    <w:rsid w:val="5349426B"/>
    <w:rsid w:val="536F6C4D"/>
    <w:rsid w:val="539A5724"/>
    <w:rsid w:val="53BB3C51"/>
    <w:rsid w:val="53D5297E"/>
    <w:rsid w:val="54104D89"/>
    <w:rsid w:val="54680ECA"/>
    <w:rsid w:val="546E3F05"/>
    <w:rsid w:val="547340E6"/>
    <w:rsid w:val="5491183A"/>
    <w:rsid w:val="549C0855"/>
    <w:rsid w:val="54CC1486"/>
    <w:rsid w:val="54DC74E2"/>
    <w:rsid w:val="54DE7482"/>
    <w:rsid w:val="552410B7"/>
    <w:rsid w:val="55805F3E"/>
    <w:rsid w:val="558646EF"/>
    <w:rsid w:val="55D55C3C"/>
    <w:rsid w:val="5621327D"/>
    <w:rsid w:val="565516D4"/>
    <w:rsid w:val="56B92CD7"/>
    <w:rsid w:val="56BC6DF4"/>
    <w:rsid w:val="573676E7"/>
    <w:rsid w:val="575A4CDE"/>
    <w:rsid w:val="576E293E"/>
    <w:rsid w:val="577A52E4"/>
    <w:rsid w:val="579E21DF"/>
    <w:rsid w:val="5895206A"/>
    <w:rsid w:val="58BD4DB3"/>
    <w:rsid w:val="58BF5131"/>
    <w:rsid w:val="58C20E44"/>
    <w:rsid w:val="58D766B9"/>
    <w:rsid w:val="58EA3C13"/>
    <w:rsid w:val="5903565A"/>
    <w:rsid w:val="59A93DB0"/>
    <w:rsid w:val="59F76345"/>
    <w:rsid w:val="5A0A201F"/>
    <w:rsid w:val="5A3C5143"/>
    <w:rsid w:val="5A8262B5"/>
    <w:rsid w:val="5A89478A"/>
    <w:rsid w:val="5AB034BF"/>
    <w:rsid w:val="5AB87E7B"/>
    <w:rsid w:val="5AC20F4F"/>
    <w:rsid w:val="5B045A43"/>
    <w:rsid w:val="5B215EAD"/>
    <w:rsid w:val="5B6C3892"/>
    <w:rsid w:val="5B701157"/>
    <w:rsid w:val="5B7F7374"/>
    <w:rsid w:val="5BE32127"/>
    <w:rsid w:val="5C11568E"/>
    <w:rsid w:val="5C336BE9"/>
    <w:rsid w:val="5C40507F"/>
    <w:rsid w:val="5C536D64"/>
    <w:rsid w:val="5C8A688E"/>
    <w:rsid w:val="5C8B58D1"/>
    <w:rsid w:val="5C931A69"/>
    <w:rsid w:val="5CC234A5"/>
    <w:rsid w:val="5D0377CF"/>
    <w:rsid w:val="5D1641E7"/>
    <w:rsid w:val="5D2E6068"/>
    <w:rsid w:val="5D475233"/>
    <w:rsid w:val="5D6F2AF8"/>
    <w:rsid w:val="5D97529E"/>
    <w:rsid w:val="5DB927D6"/>
    <w:rsid w:val="5E183DD1"/>
    <w:rsid w:val="5E3800E1"/>
    <w:rsid w:val="5E6C3E78"/>
    <w:rsid w:val="5E7B35FC"/>
    <w:rsid w:val="5E925B1B"/>
    <w:rsid w:val="5EAC6FCD"/>
    <w:rsid w:val="5F01032E"/>
    <w:rsid w:val="5F70607C"/>
    <w:rsid w:val="601939CB"/>
    <w:rsid w:val="60342B0F"/>
    <w:rsid w:val="60543AD3"/>
    <w:rsid w:val="60573BFA"/>
    <w:rsid w:val="607C6CBE"/>
    <w:rsid w:val="60BF1FD9"/>
    <w:rsid w:val="61A9603A"/>
    <w:rsid w:val="61B71D9C"/>
    <w:rsid w:val="61D06725"/>
    <w:rsid w:val="61FA1526"/>
    <w:rsid w:val="620023CB"/>
    <w:rsid w:val="625C68F9"/>
    <w:rsid w:val="627A18FC"/>
    <w:rsid w:val="62B66AFB"/>
    <w:rsid w:val="63364C23"/>
    <w:rsid w:val="635F1A4F"/>
    <w:rsid w:val="63937682"/>
    <w:rsid w:val="63D358C9"/>
    <w:rsid w:val="641301EA"/>
    <w:rsid w:val="642C179D"/>
    <w:rsid w:val="6450579E"/>
    <w:rsid w:val="64881F81"/>
    <w:rsid w:val="64BB18DC"/>
    <w:rsid w:val="64CF3D12"/>
    <w:rsid w:val="64CF63F4"/>
    <w:rsid w:val="65200D04"/>
    <w:rsid w:val="65342610"/>
    <w:rsid w:val="654F0F71"/>
    <w:rsid w:val="65595AB0"/>
    <w:rsid w:val="657B7B75"/>
    <w:rsid w:val="657D7230"/>
    <w:rsid w:val="658A7362"/>
    <w:rsid w:val="65ED5044"/>
    <w:rsid w:val="66A6552C"/>
    <w:rsid w:val="66E67EFD"/>
    <w:rsid w:val="67074DA8"/>
    <w:rsid w:val="673A7430"/>
    <w:rsid w:val="67500981"/>
    <w:rsid w:val="6756252B"/>
    <w:rsid w:val="67BF6216"/>
    <w:rsid w:val="67FB54CA"/>
    <w:rsid w:val="68624E38"/>
    <w:rsid w:val="689627C2"/>
    <w:rsid w:val="689B5F36"/>
    <w:rsid w:val="68DB086B"/>
    <w:rsid w:val="690E19C9"/>
    <w:rsid w:val="69280027"/>
    <w:rsid w:val="69313AB9"/>
    <w:rsid w:val="694678B7"/>
    <w:rsid w:val="694E5CA2"/>
    <w:rsid w:val="696D3186"/>
    <w:rsid w:val="69AC4430"/>
    <w:rsid w:val="69CF4947"/>
    <w:rsid w:val="6A062771"/>
    <w:rsid w:val="6A3426D6"/>
    <w:rsid w:val="6ACD5B9B"/>
    <w:rsid w:val="6AD00745"/>
    <w:rsid w:val="6B370CAD"/>
    <w:rsid w:val="6B8766AC"/>
    <w:rsid w:val="6BA75680"/>
    <w:rsid w:val="6BAA17ED"/>
    <w:rsid w:val="6BC120C1"/>
    <w:rsid w:val="6BD90880"/>
    <w:rsid w:val="6C0C4313"/>
    <w:rsid w:val="6C4E6C53"/>
    <w:rsid w:val="6C514CFF"/>
    <w:rsid w:val="6C684ADD"/>
    <w:rsid w:val="6C8862DD"/>
    <w:rsid w:val="6CA11ECA"/>
    <w:rsid w:val="6D141897"/>
    <w:rsid w:val="6D611531"/>
    <w:rsid w:val="6D743A98"/>
    <w:rsid w:val="6DF060E3"/>
    <w:rsid w:val="6DFF4880"/>
    <w:rsid w:val="6E2E7D2D"/>
    <w:rsid w:val="6EC16640"/>
    <w:rsid w:val="6EDD1AC5"/>
    <w:rsid w:val="6EEC1442"/>
    <w:rsid w:val="6F225696"/>
    <w:rsid w:val="6F3239AE"/>
    <w:rsid w:val="6F3E739F"/>
    <w:rsid w:val="6F5304E4"/>
    <w:rsid w:val="6F5A10D3"/>
    <w:rsid w:val="6F914A1F"/>
    <w:rsid w:val="6FDD17DE"/>
    <w:rsid w:val="6FE52AD2"/>
    <w:rsid w:val="6FE5444F"/>
    <w:rsid w:val="6FEE5677"/>
    <w:rsid w:val="70043610"/>
    <w:rsid w:val="70086310"/>
    <w:rsid w:val="70435849"/>
    <w:rsid w:val="708A15C7"/>
    <w:rsid w:val="70A032B4"/>
    <w:rsid w:val="70DA43C9"/>
    <w:rsid w:val="70F00A96"/>
    <w:rsid w:val="719B190A"/>
    <w:rsid w:val="72201FA8"/>
    <w:rsid w:val="722577FA"/>
    <w:rsid w:val="7231623E"/>
    <w:rsid w:val="727B7AA7"/>
    <w:rsid w:val="73571A07"/>
    <w:rsid w:val="738674DF"/>
    <w:rsid w:val="73A8226A"/>
    <w:rsid w:val="74CC221C"/>
    <w:rsid w:val="751158D7"/>
    <w:rsid w:val="75892108"/>
    <w:rsid w:val="75A56004"/>
    <w:rsid w:val="7600644C"/>
    <w:rsid w:val="7608190C"/>
    <w:rsid w:val="76507936"/>
    <w:rsid w:val="76F00B91"/>
    <w:rsid w:val="76F51ECB"/>
    <w:rsid w:val="77177630"/>
    <w:rsid w:val="776C165E"/>
    <w:rsid w:val="77817275"/>
    <w:rsid w:val="7792796F"/>
    <w:rsid w:val="77D0584E"/>
    <w:rsid w:val="78D4228A"/>
    <w:rsid w:val="79291A78"/>
    <w:rsid w:val="794257DD"/>
    <w:rsid w:val="794F73CE"/>
    <w:rsid w:val="79560EF8"/>
    <w:rsid w:val="7A147459"/>
    <w:rsid w:val="7A6E4128"/>
    <w:rsid w:val="7ACB1B5F"/>
    <w:rsid w:val="7ACF095D"/>
    <w:rsid w:val="7AD46F08"/>
    <w:rsid w:val="7AFC6528"/>
    <w:rsid w:val="7B1E3C25"/>
    <w:rsid w:val="7B4A02D1"/>
    <w:rsid w:val="7B551150"/>
    <w:rsid w:val="7C405AC7"/>
    <w:rsid w:val="7C8053FA"/>
    <w:rsid w:val="7CB71B8B"/>
    <w:rsid w:val="7CBD15E8"/>
    <w:rsid w:val="7D8C67F9"/>
    <w:rsid w:val="7DE534E1"/>
    <w:rsid w:val="7DF804B8"/>
    <w:rsid w:val="7E3C663F"/>
    <w:rsid w:val="7E991298"/>
    <w:rsid w:val="7EC07C5D"/>
    <w:rsid w:val="7EFD017F"/>
    <w:rsid w:val="7F0C4507"/>
    <w:rsid w:val="7FA27D87"/>
    <w:rsid w:val="7FB07440"/>
    <w:rsid w:val="7FBF64B8"/>
    <w:rsid w:val="F7DBA03B"/>
    <w:rsid w:val="FB373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nhideWhenUsed="0" w:uiPriority="0" w:semiHidden="0" w:name="Normal Indent"/>
    <w:lsdException w:qFormat="1" w:unhideWhenUsed="0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iPriority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80" w:firstLineChars="200"/>
      <w:jc w:val="both"/>
    </w:pPr>
    <w:rPr>
      <w:rFonts w:ascii="宋体" w:hAnsi="宋体" w:eastAsia="宋体" w:cs="Times New Roman"/>
      <w:sz w:val="21"/>
      <w:szCs w:val="21"/>
      <w:lang w:val="en-US" w:eastAsia="zh-CN" w:bidi="ar-SA"/>
    </w:rPr>
  </w:style>
  <w:style w:type="paragraph" w:styleId="3">
    <w:name w:val="heading 1"/>
    <w:basedOn w:val="4"/>
    <w:next w:val="1"/>
    <w:link w:val="37"/>
    <w:qFormat/>
    <w:uiPriority w:val="0"/>
    <w:pPr>
      <w:keepNext/>
      <w:keepLines/>
      <w:numPr>
        <w:ilvl w:val="0"/>
        <w:numId w:val="1"/>
      </w:numPr>
      <w:spacing w:before="60"/>
      <w:ind w:left="2835" w:firstLineChars="0"/>
      <w:jc w:val="left"/>
    </w:pPr>
    <w:rPr>
      <w:rFonts w:ascii="Times New Roman" w:hAnsi="Times New Roman" w:eastAsia="宋体"/>
      <w:bCs/>
      <w:kern w:val="44"/>
      <w:sz w:val="28"/>
      <w:szCs w:val="44"/>
    </w:rPr>
  </w:style>
  <w:style w:type="paragraph" w:styleId="5">
    <w:name w:val="heading 2"/>
    <w:basedOn w:val="1"/>
    <w:next w:val="1"/>
    <w:link w:val="39"/>
    <w:unhideWhenUsed/>
    <w:qFormat/>
    <w:uiPriority w:val="0"/>
    <w:pPr>
      <w:widowControl/>
      <w:numPr>
        <w:ilvl w:val="1"/>
        <w:numId w:val="1"/>
      </w:numPr>
      <w:tabs>
        <w:tab w:val="left" w:pos="432"/>
        <w:tab w:val="left" w:pos="3267"/>
      </w:tabs>
      <w:spacing w:before="40" w:after="40"/>
      <w:ind w:left="992" w:firstLineChars="0"/>
      <w:jc w:val="left"/>
      <w:outlineLvl w:val="1"/>
    </w:pPr>
    <w:rPr>
      <w:rFonts w:ascii="宋体" w:hAnsi="宋体" w:eastAsia="宋体"/>
      <w:b/>
      <w:bCs/>
      <w:sz w:val="24"/>
      <w:szCs w:val="32"/>
    </w:rPr>
  </w:style>
  <w:style w:type="paragraph" w:styleId="6">
    <w:name w:val="heading 3"/>
    <w:basedOn w:val="1"/>
    <w:next w:val="1"/>
    <w:link w:val="38"/>
    <w:unhideWhenUsed/>
    <w:qFormat/>
    <w:uiPriority w:val="0"/>
    <w:pPr>
      <w:numPr>
        <w:ilvl w:val="2"/>
        <w:numId w:val="1"/>
      </w:numPr>
      <w:tabs>
        <w:tab w:val="left" w:pos="432"/>
        <w:tab w:val="left" w:pos="578"/>
        <w:tab w:val="clear" w:pos="0"/>
      </w:tabs>
      <w:ind w:firstLineChars="0"/>
      <w:outlineLvl w:val="2"/>
    </w:pPr>
    <w:rPr>
      <w:rFonts w:ascii="宋体" w:hAnsi="宋体" w:eastAsia="宋体" w:cs="宋体"/>
      <w:b/>
      <w:bCs/>
      <w:sz w:val="24"/>
      <w:szCs w:val="32"/>
    </w:rPr>
  </w:style>
  <w:style w:type="paragraph" w:styleId="7">
    <w:name w:val="heading 4"/>
    <w:basedOn w:val="1"/>
    <w:next w:val="1"/>
    <w:link w:val="40"/>
    <w:unhideWhenUsed/>
    <w:qFormat/>
    <w:uiPriority w:val="0"/>
    <w:pPr>
      <w:keepNext/>
      <w:keepLines/>
      <w:numPr>
        <w:ilvl w:val="3"/>
        <w:numId w:val="1"/>
      </w:numPr>
      <w:tabs>
        <w:tab w:val="left" w:pos="432"/>
      </w:tabs>
      <w:ind w:firstLineChars="0"/>
      <w:outlineLvl w:val="3"/>
    </w:pPr>
    <w:rPr>
      <w:rFonts w:ascii="Arial" w:hAnsi="Arial"/>
      <w:b/>
      <w:szCs w:val="22"/>
    </w:rPr>
  </w:style>
  <w:style w:type="paragraph" w:styleId="8">
    <w:name w:val="heading 5"/>
    <w:basedOn w:val="1"/>
    <w:next w:val="1"/>
    <w:link w:val="41"/>
    <w:unhideWhenUsed/>
    <w:qFormat/>
    <w:uiPriority w:val="0"/>
    <w:pPr>
      <w:keepNext/>
      <w:keepLines/>
      <w:numPr>
        <w:ilvl w:val="0"/>
        <w:numId w:val="2"/>
      </w:numPr>
      <w:tabs>
        <w:tab w:val="left" w:pos="432"/>
      </w:tabs>
      <w:ind w:firstLine="0" w:firstLineChars="0"/>
      <w:outlineLvl w:val="4"/>
    </w:pPr>
    <w:rPr>
      <w:rFonts w:ascii="宋体" w:hAnsi="宋体" w:eastAsia="宋体"/>
      <w:b/>
      <w:szCs w:val="22"/>
    </w:rPr>
  </w:style>
  <w:style w:type="paragraph" w:styleId="9">
    <w:name w:val="heading 6"/>
    <w:basedOn w:val="1"/>
    <w:next w:val="1"/>
    <w:unhideWhenUsed/>
    <w:qFormat/>
    <w:uiPriority w:val="0"/>
    <w:pPr>
      <w:keepNext/>
      <w:keepLines/>
      <w:tabs>
        <w:tab w:val="left" w:pos="432"/>
      </w:tabs>
      <w:ind w:firstLine="0" w:firstLineChars="0"/>
      <w:outlineLvl w:val="5"/>
    </w:pPr>
    <w:rPr>
      <w:b/>
      <w:szCs w:val="22"/>
    </w:rPr>
  </w:style>
  <w:style w:type="paragraph" w:styleId="10">
    <w:name w:val="heading 7"/>
    <w:basedOn w:val="1"/>
    <w:next w:val="1"/>
    <w:link w:val="42"/>
    <w:unhideWhenUsed/>
    <w:qFormat/>
    <w:uiPriority w:val="0"/>
    <w:pPr>
      <w:keepNext/>
      <w:keepLines/>
      <w:widowControl/>
      <w:numPr>
        <w:ilvl w:val="6"/>
        <w:numId w:val="3"/>
      </w:numPr>
      <w:tabs>
        <w:tab w:val="left" w:pos="432"/>
      </w:tabs>
      <w:ind w:firstLineChars="0"/>
      <w:outlineLvl w:val="6"/>
    </w:pPr>
    <w:rPr>
      <w:b/>
      <w:iCs/>
      <w:color w:val="404040"/>
      <w:szCs w:val="22"/>
      <w:lang w:eastAsia="en-US" w:bidi="en-US"/>
    </w:rPr>
  </w:style>
  <w:style w:type="paragraph" w:styleId="11">
    <w:name w:val="heading 8"/>
    <w:basedOn w:val="1"/>
    <w:next w:val="1"/>
    <w:unhideWhenUsed/>
    <w:qFormat/>
    <w:uiPriority w:val="0"/>
    <w:pPr>
      <w:keepNext/>
      <w:keepLines/>
      <w:numPr>
        <w:ilvl w:val="7"/>
        <w:numId w:val="3"/>
      </w:numPr>
      <w:tabs>
        <w:tab w:val="left" w:pos="432"/>
        <w:tab w:val="clear" w:pos="420"/>
      </w:tabs>
      <w:outlineLvl w:val="7"/>
    </w:pPr>
    <w:rPr>
      <w:b/>
      <w:szCs w:val="22"/>
    </w:rPr>
  </w:style>
  <w:style w:type="paragraph" w:styleId="12">
    <w:name w:val="heading 9"/>
    <w:basedOn w:val="1"/>
    <w:next w:val="1"/>
    <w:unhideWhenUsed/>
    <w:qFormat/>
    <w:uiPriority w:val="0"/>
    <w:pPr>
      <w:keepNext/>
      <w:keepLines/>
      <w:numPr>
        <w:ilvl w:val="8"/>
        <w:numId w:val="3"/>
      </w:numPr>
      <w:outlineLvl w:val="8"/>
    </w:pPr>
    <w:rPr>
      <w:b/>
      <w:szCs w:val="22"/>
    </w:rPr>
  </w:style>
  <w:style w:type="character" w:default="1" w:styleId="33">
    <w:name w:val="Default Paragraph Font"/>
    <w:semiHidden/>
    <w:unhideWhenUsed/>
    <w:qFormat/>
    <w:uiPriority w:val="1"/>
  </w:style>
  <w:style w:type="table" w:default="1" w:styleId="3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0"/>
    <w:pPr>
      <w:spacing w:after="120"/>
    </w:pPr>
  </w:style>
  <w:style w:type="paragraph" w:styleId="4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13">
    <w:name w:val="toc 7"/>
    <w:basedOn w:val="1"/>
    <w:next w:val="1"/>
    <w:unhideWhenUsed/>
    <w:qFormat/>
    <w:uiPriority w:val="39"/>
    <w:pPr>
      <w:spacing w:line="240" w:lineRule="auto"/>
      <w:ind w:left="2520" w:leftChars="12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14">
    <w:name w:val="caption"/>
    <w:basedOn w:val="1"/>
    <w:next w:val="1"/>
    <w:link w:val="43"/>
    <w:unhideWhenUsed/>
    <w:qFormat/>
    <w:uiPriority w:val="35"/>
    <w:pPr>
      <w:ind w:firstLine="0" w:firstLineChars="0"/>
      <w:jc w:val="center"/>
    </w:pPr>
    <w:rPr>
      <w:sz w:val="18"/>
      <w:szCs w:val="22"/>
    </w:rPr>
  </w:style>
  <w:style w:type="paragraph" w:styleId="15">
    <w:name w:val="annotation text"/>
    <w:basedOn w:val="1"/>
    <w:unhideWhenUsed/>
    <w:qFormat/>
    <w:uiPriority w:val="0"/>
    <w:pPr>
      <w:jc w:val="left"/>
    </w:pPr>
  </w:style>
  <w:style w:type="paragraph" w:styleId="16">
    <w:name w:val="Body Text Indent"/>
    <w:basedOn w:val="1"/>
    <w:link w:val="67"/>
    <w:qFormat/>
    <w:uiPriority w:val="0"/>
    <w:pPr>
      <w:spacing w:after="120"/>
      <w:ind w:left="420" w:leftChars="200"/>
    </w:pPr>
  </w:style>
  <w:style w:type="paragraph" w:styleId="17">
    <w:name w:val="toc 5"/>
    <w:basedOn w:val="1"/>
    <w:next w:val="1"/>
    <w:unhideWhenUsed/>
    <w:qFormat/>
    <w:uiPriority w:val="39"/>
    <w:pPr>
      <w:spacing w:line="240" w:lineRule="auto"/>
      <w:ind w:left="1680" w:leftChars="8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18">
    <w:name w:val="toc 3"/>
    <w:basedOn w:val="1"/>
    <w:next w:val="1"/>
    <w:qFormat/>
    <w:uiPriority w:val="39"/>
    <w:pPr>
      <w:tabs>
        <w:tab w:val="right" w:leader="dot" w:pos="8788"/>
      </w:tabs>
      <w:ind w:left="840" w:leftChars="400" w:firstLine="0" w:firstLineChars="0"/>
    </w:pPr>
  </w:style>
  <w:style w:type="paragraph" w:styleId="19">
    <w:name w:val="Plain Text"/>
    <w:basedOn w:val="1"/>
    <w:link w:val="68"/>
    <w:qFormat/>
    <w:uiPriority w:val="0"/>
    <w:pPr>
      <w:spacing w:line="240" w:lineRule="auto"/>
      <w:ind w:firstLine="0" w:firstLineChars="0"/>
    </w:pPr>
    <w:rPr>
      <w:rFonts w:hAnsi="Courier New" w:asciiTheme="minorHAnsi" w:eastAsiaTheme="minorEastAsia" w:cstheme="minorBidi"/>
      <w:kern w:val="2"/>
      <w:szCs w:val="20"/>
    </w:rPr>
  </w:style>
  <w:style w:type="paragraph" w:styleId="20">
    <w:name w:val="toc 8"/>
    <w:basedOn w:val="1"/>
    <w:next w:val="1"/>
    <w:unhideWhenUsed/>
    <w:qFormat/>
    <w:uiPriority w:val="39"/>
    <w:pPr>
      <w:spacing w:line="240" w:lineRule="auto"/>
      <w:ind w:left="2940" w:leftChars="14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21">
    <w:name w:val="footer"/>
    <w:basedOn w:val="1"/>
    <w:next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2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23">
    <w:name w:val="toc 1"/>
    <w:basedOn w:val="1"/>
    <w:next w:val="1"/>
    <w:link w:val="44"/>
    <w:qFormat/>
    <w:uiPriority w:val="39"/>
    <w:pPr>
      <w:tabs>
        <w:tab w:val="right" w:leader="dot" w:pos="8788"/>
      </w:tabs>
      <w:ind w:firstLine="0" w:firstLineChars="0"/>
    </w:pPr>
  </w:style>
  <w:style w:type="paragraph" w:styleId="24">
    <w:name w:val="toc 4"/>
    <w:basedOn w:val="1"/>
    <w:next w:val="1"/>
    <w:unhideWhenUsed/>
    <w:qFormat/>
    <w:uiPriority w:val="39"/>
    <w:pPr>
      <w:spacing w:line="240" w:lineRule="auto"/>
      <w:ind w:left="1260" w:leftChars="6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25">
    <w:name w:val="footnote text"/>
    <w:basedOn w:val="1"/>
    <w:link w:val="54"/>
    <w:qFormat/>
    <w:uiPriority w:val="0"/>
    <w:pPr>
      <w:widowControl/>
      <w:snapToGrid w:val="0"/>
      <w:ind w:firstLine="0" w:firstLineChars="0"/>
      <w:jc w:val="left"/>
    </w:pPr>
    <w:rPr>
      <w:rFonts w:cs="宋体"/>
      <w:sz w:val="18"/>
      <w:szCs w:val="18"/>
    </w:rPr>
  </w:style>
  <w:style w:type="paragraph" w:styleId="26">
    <w:name w:val="toc 6"/>
    <w:basedOn w:val="1"/>
    <w:next w:val="1"/>
    <w:unhideWhenUsed/>
    <w:qFormat/>
    <w:uiPriority w:val="39"/>
    <w:pPr>
      <w:spacing w:line="240" w:lineRule="auto"/>
      <w:ind w:left="2100" w:leftChars="10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27">
    <w:name w:val="toc 2"/>
    <w:basedOn w:val="1"/>
    <w:next w:val="1"/>
    <w:qFormat/>
    <w:uiPriority w:val="39"/>
    <w:pPr>
      <w:ind w:left="420" w:leftChars="200" w:firstLine="0" w:firstLineChars="0"/>
    </w:pPr>
  </w:style>
  <w:style w:type="paragraph" w:styleId="28">
    <w:name w:val="toc 9"/>
    <w:basedOn w:val="1"/>
    <w:next w:val="1"/>
    <w:unhideWhenUsed/>
    <w:qFormat/>
    <w:uiPriority w:val="39"/>
    <w:pPr>
      <w:spacing w:line="240" w:lineRule="auto"/>
      <w:ind w:left="3360" w:leftChars="16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29">
    <w:name w:val="Normal (Web)"/>
    <w:basedOn w:val="1"/>
    <w:qFormat/>
    <w:uiPriority w:val="99"/>
    <w:pPr>
      <w:spacing w:beforeAutospacing="1" w:afterAutospacing="1"/>
      <w:jc w:val="left"/>
    </w:pPr>
    <w:rPr>
      <w:sz w:val="24"/>
    </w:rPr>
  </w:style>
  <w:style w:type="paragraph" w:styleId="30">
    <w:name w:val="Body Text First Indent"/>
    <w:basedOn w:val="2"/>
    <w:qFormat/>
    <w:uiPriority w:val="0"/>
    <w:pPr>
      <w:ind w:firstLine="420"/>
    </w:pPr>
    <w:rPr>
      <w:sz w:val="24"/>
      <w:szCs w:val="20"/>
    </w:rPr>
  </w:style>
  <w:style w:type="table" w:styleId="32">
    <w:name w:val="Table Grid"/>
    <w:basedOn w:val="3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4">
    <w:name w:val="FollowedHyperlink"/>
    <w:basedOn w:val="33"/>
    <w:qFormat/>
    <w:uiPriority w:val="0"/>
    <w:rPr>
      <w:color w:val="800080"/>
      <w:u w:val="single"/>
    </w:rPr>
  </w:style>
  <w:style w:type="character" w:styleId="35">
    <w:name w:val="Hyperlink"/>
    <w:basedOn w:val="33"/>
    <w:qFormat/>
    <w:uiPriority w:val="99"/>
    <w:rPr>
      <w:rFonts w:ascii="宋体" w:hAnsi="宋体" w:eastAsia="宋体"/>
      <w:color w:val="0563C1" w:themeColor="hyperlink"/>
      <w:sz w:val="21"/>
      <w:u w:val="single"/>
      <w14:textFill>
        <w14:solidFill>
          <w14:schemeClr w14:val="hlink"/>
        </w14:solidFill>
      </w14:textFill>
    </w:rPr>
  </w:style>
  <w:style w:type="character" w:styleId="36">
    <w:name w:val="annotation reference"/>
    <w:basedOn w:val="33"/>
    <w:unhideWhenUsed/>
    <w:qFormat/>
    <w:uiPriority w:val="0"/>
    <w:rPr>
      <w:sz w:val="21"/>
      <w:szCs w:val="21"/>
    </w:rPr>
  </w:style>
  <w:style w:type="character" w:customStyle="1" w:styleId="37">
    <w:name w:val="标题 1 字符"/>
    <w:link w:val="3"/>
    <w:qFormat/>
    <w:uiPriority w:val="0"/>
    <w:rPr>
      <w:rFonts w:ascii="Times New Roman" w:hAnsi="Times New Roman" w:eastAsia="宋体"/>
      <w:b/>
      <w:bCs/>
      <w:kern w:val="44"/>
      <w:sz w:val="28"/>
      <w:szCs w:val="44"/>
    </w:rPr>
  </w:style>
  <w:style w:type="character" w:customStyle="1" w:styleId="38">
    <w:name w:val="标题 3 字符"/>
    <w:link w:val="6"/>
    <w:qFormat/>
    <w:uiPriority w:val="0"/>
    <w:rPr>
      <w:rFonts w:ascii="宋体" w:hAnsi="宋体" w:eastAsia="宋体" w:cs="宋体"/>
      <w:b/>
      <w:bCs/>
      <w:sz w:val="24"/>
      <w:szCs w:val="32"/>
    </w:rPr>
  </w:style>
  <w:style w:type="character" w:customStyle="1" w:styleId="39">
    <w:name w:val="标题 2 字符"/>
    <w:link w:val="5"/>
    <w:qFormat/>
    <w:uiPriority w:val="0"/>
    <w:rPr>
      <w:rFonts w:ascii="宋体" w:hAnsi="宋体" w:eastAsia="宋体"/>
      <w:b/>
      <w:bCs/>
      <w:sz w:val="24"/>
      <w:szCs w:val="32"/>
    </w:rPr>
  </w:style>
  <w:style w:type="character" w:customStyle="1" w:styleId="40">
    <w:name w:val="标题 4 字符"/>
    <w:basedOn w:val="33"/>
    <w:link w:val="7"/>
    <w:qFormat/>
    <w:uiPriority w:val="0"/>
    <w:rPr>
      <w:rFonts w:ascii="Arial" w:hAnsi="Arial"/>
      <w:b/>
      <w:sz w:val="21"/>
      <w:szCs w:val="22"/>
    </w:rPr>
  </w:style>
  <w:style w:type="character" w:customStyle="1" w:styleId="41">
    <w:name w:val="标题 5 字符"/>
    <w:link w:val="8"/>
    <w:qFormat/>
    <w:uiPriority w:val="9"/>
    <w:rPr>
      <w:rFonts w:ascii="宋体" w:hAnsi="宋体" w:eastAsia="宋体"/>
      <w:b/>
      <w:sz w:val="21"/>
      <w:szCs w:val="22"/>
    </w:rPr>
  </w:style>
  <w:style w:type="character" w:customStyle="1" w:styleId="42">
    <w:name w:val="标题 7 字符"/>
    <w:link w:val="10"/>
    <w:qFormat/>
    <w:uiPriority w:val="0"/>
    <w:rPr>
      <w:rFonts w:ascii="宋体" w:hAnsi="宋体"/>
      <w:b/>
      <w:iCs/>
      <w:color w:val="404040"/>
      <w:sz w:val="21"/>
      <w:szCs w:val="22"/>
      <w:lang w:eastAsia="en-US" w:bidi="en-US"/>
    </w:rPr>
  </w:style>
  <w:style w:type="character" w:customStyle="1" w:styleId="43">
    <w:name w:val="题注 字符"/>
    <w:link w:val="14"/>
    <w:qFormat/>
    <w:uiPriority w:val="35"/>
    <w:rPr>
      <w:rFonts w:ascii="宋体" w:hAnsi="宋体"/>
      <w:sz w:val="18"/>
      <w:szCs w:val="22"/>
    </w:rPr>
  </w:style>
  <w:style w:type="character" w:customStyle="1" w:styleId="44">
    <w:name w:val="TOC 1 字符"/>
    <w:link w:val="23"/>
    <w:qFormat/>
    <w:uiPriority w:val="0"/>
  </w:style>
  <w:style w:type="paragraph" w:customStyle="1" w:styleId="45">
    <w:name w:val="表格文本"/>
    <w:basedOn w:val="1"/>
    <w:qFormat/>
    <w:uiPriority w:val="0"/>
    <w:pPr>
      <w:snapToGrid w:val="0"/>
      <w:ind w:firstLine="0" w:firstLineChars="0"/>
      <w:jc w:val="center"/>
    </w:pPr>
    <w:rPr>
      <w:rFonts w:ascii="Times New Roman" w:hAnsi="Times New Roman"/>
      <w:sz w:val="18"/>
      <w:szCs w:val="24"/>
    </w:rPr>
  </w:style>
  <w:style w:type="paragraph" w:customStyle="1" w:styleId="46">
    <w:name w:val="表格体"/>
    <w:basedOn w:val="1"/>
    <w:link w:val="47"/>
    <w:qFormat/>
    <w:uiPriority w:val="0"/>
    <w:pPr>
      <w:ind w:firstLine="0" w:firstLineChars="0"/>
      <w:jc w:val="left"/>
    </w:pPr>
    <w:rPr>
      <w:color w:val="000000"/>
      <w:sz w:val="18"/>
      <w:szCs w:val="18"/>
    </w:rPr>
  </w:style>
  <w:style w:type="character" w:customStyle="1" w:styleId="47">
    <w:name w:val="表格体 字符"/>
    <w:link w:val="46"/>
    <w:qFormat/>
    <w:uiPriority w:val="0"/>
    <w:rPr>
      <w:rFonts w:ascii="宋体" w:hAnsi="宋体" w:eastAsia="宋体"/>
      <w:color w:val="000000"/>
      <w:kern w:val="2"/>
      <w:sz w:val="18"/>
      <w:szCs w:val="18"/>
    </w:rPr>
  </w:style>
  <w:style w:type="paragraph" w:customStyle="1" w:styleId="48">
    <w:name w:val="图样式"/>
    <w:basedOn w:val="1"/>
    <w:qFormat/>
    <w:uiPriority w:val="0"/>
    <w:pPr>
      <w:ind w:left="840" w:hanging="840"/>
      <w:jc w:val="center"/>
    </w:pPr>
    <w:rPr>
      <w:sz w:val="18"/>
      <w:szCs w:val="22"/>
    </w:rPr>
  </w:style>
  <w:style w:type="paragraph" w:customStyle="1" w:styleId="49">
    <w:name w:val="TOC 标题1"/>
    <w:basedOn w:val="1"/>
    <w:next w:val="1"/>
    <w:unhideWhenUsed/>
    <w:qFormat/>
    <w:uiPriority w:val="39"/>
    <w:pPr>
      <w:widowControl/>
      <w:ind w:firstLine="0" w:firstLineChars="0"/>
      <w:jc w:val="center"/>
    </w:pPr>
    <w:rPr>
      <w:rFonts w:asciiTheme="majorHAnsi" w:hAnsiTheme="majorHAnsi" w:cstheme="majorBidi"/>
      <w:color w:val="2E75B6" w:themeColor="accent1" w:themeShade="BF"/>
      <w:sz w:val="30"/>
      <w:szCs w:val="32"/>
    </w:rPr>
  </w:style>
  <w:style w:type="paragraph" w:customStyle="1" w:styleId="50">
    <w:name w:val="列表段落1"/>
    <w:basedOn w:val="1"/>
    <w:link w:val="51"/>
    <w:qFormat/>
    <w:uiPriority w:val="34"/>
    <w:pPr>
      <w:ind w:firstLine="420"/>
    </w:pPr>
  </w:style>
  <w:style w:type="character" w:customStyle="1" w:styleId="51">
    <w:name w:val="列表段落 字符"/>
    <w:link w:val="50"/>
    <w:qFormat/>
    <w:uiPriority w:val="34"/>
    <w:rPr>
      <w:rFonts w:ascii="宋体" w:hAnsi="宋体"/>
      <w:sz w:val="21"/>
      <w:szCs w:val="21"/>
    </w:rPr>
  </w:style>
  <w:style w:type="paragraph" w:customStyle="1" w:styleId="52">
    <w:name w:val="文内正文"/>
    <w:basedOn w:val="50"/>
    <w:link w:val="53"/>
    <w:qFormat/>
    <w:uiPriority w:val="0"/>
    <w:pPr>
      <w:widowControl/>
      <w:ind w:firstLine="200"/>
      <w:jc w:val="left"/>
    </w:pPr>
    <w:rPr>
      <w:rFonts w:cs="宋体"/>
      <w:szCs w:val="24"/>
    </w:rPr>
  </w:style>
  <w:style w:type="character" w:customStyle="1" w:styleId="53">
    <w:name w:val="文内正文 字符"/>
    <w:basedOn w:val="33"/>
    <w:link w:val="52"/>
    <w:qFormat/>
    <w:uiPriority w:val="0"/>
    <w:rPr>
      <w:rFonts w:ascii="宋体" w:hAnsi="宋体" w:cs="宋体"/>
      <w:sz w:val="21"/>
      <w:szCs w:val="24"/>
    </w:rPr>
  </w:style>
  <w:style w:type="character" w:customStyle="1" w:styleId="54">
    <w:name w:val="脚注文本 字符"/>
    <w:basedOn w:val="33"/>
    <w:link w:val="25"/>
    <w:qFormat/>
    <w:uiPriority w:val="0"/>
    <w:rPr>
      <w:rFonts w:ascii="宋体" w:hAnsi="宋体" w:cs="宋体"/>
      <w:sz w:val="18"/>
      <w:szCs w:val="18"/>
    </w:rPr>
  </w:style>
  <w:style w:type="paragraph" w:customStyle="1" w:styleId="55">
    <w:name w:val="术语2.1"/>
    <w:basedOn w:val="1"/>
    <w:qFormat/>
    <w:uiPriority w:val="0"/>
    <w:pPr>
      <w:keepNext/>
      <w:widowControl/>
      <w:numPr>
        <w:ilvl w:val="1"/>
        <w:numId w:val="4"/>
      </w:numPr>
      <w:ind w:firstLineChars="0"/>
      <w:jc w:val="left"/>
    </w:pPr>
    <w:rPr>
      <w:rFonts w:ascii="黑体" w:eastAsia="黑体" w:cs="宋体"/>
      <w:szCs w:val="24"/>
    </w:rPr>
  </w:style>
  <w:style w:type="paragraph" w:customStyle="1" w:styleId="56">
    <w:name w:val="图片下标"/>
    <w:basedOn w:val="14"/>
    <w:link w:val="57"/>
    <w:qFormat/>
    <w:uiPriority w:val="0"/>
    <w:pPr>
      <w:widowControl/>
      <w:numPr>
        <w:ilvl w:val="0"/>
        <w:numId w:val="5"/>
      </w:numPr>
    </w:pPr>
    <w:rPr>
      <w:rFonts w:cs="Arial"/>
      <w:szCs w:val="18"/>
    </w:rPr>
  </w:style>
  <w:style w:type="character" w:customStyle="1" w:styleId="57">
    <w:name w:val="图片下标 字符"/>
    <w:basedOn w:val="43"/>
    <w:link w:val="56"/>
    <w:qFormat/>
    <w:uiPriority w:val="0"/>
    <w:rPr>
      <w:rFonts w:ascii="宋体" w:hAnsi="宋体" w:cs="Arial"/>
      <w:sz w:val="18"/>
      <w:szCs w:val="18"/>
    </w:rPr>
  </w:style>
  <w:style w:type="paragraph" w:customStyle="1" w:styleId="58">
    <w:name w:val="Section7"/>
    <w:basedOn w:val="10"/>
    <w:qFormat/>
    <w:uiPriority w:val="0"/>
    <w:pPr>
      <w:numPr>
        <w:ilvl w:val="0"/>
        <w:numId w:val="0"/>
      </w:numPr>
      <w:tabs>
        <w:tab w:val="left" w:pos="1159"/>
        <w:tab w:val="left" w:pos="1296"/>
        <w:tab w:val="clear" w:pos="432"/>
      </w:tabs>
      <w:spacing w:before="240" w:after="64" w:line="320" w:lineRule="auto"/>
      <w:ind w:left="1296" w:hanging="1296"/>
      <w:jc w:val="left"/>
    </w:pPr>
    <w:rPr>
      <w:rFonts w:cs="宋体"/>
      <w:iCs w:val="0"/>
      <w:color w:val="auto"/>
      <w:szCs w:val="24"/>
      <w:lang w:eastAsia="zh-CN" w:bidi="ar-SA"/>
    </w:rPr>
  </w:style>
  <w:style w:type="paragraph" w:customStyle="1" w:styleId="59">
    <w:name w:val="Section8"/>
    <w:basedOn w:val="11"/>
    <w:qFormat/>
    <w:uiPriority w:val="0"/>
    <w:pPr>
      <w:widowControl/>
      <w:numPr>
        <w:ilvl w:val="0"/>
        <w:numId w:val="0"/>
      </w:numPr>
      <w:tabs>
        <w:tab w:val="left" w:pos="1303"/>
        <w:tab w:val="left" w:pos="1440"/>
        <w:tab w:val="clear" w:pos="432"/>
      </w:tabs>
      <w:spacing w:before="240" w:after="64" w:line="320" w:lineRule="auto"/>
      <w:ind w:left="1440" w:hanging="1440"/>
      <w:jc w:val="left"/>
    </w:pPr>
    <w:rPr>
      <w:rFonts w:ascii="Times New Roman" w:hAnsi="Times New Roman" w:cs="宋体"/>
      <w:bCs/>
      <w:szCs w:val="24"/>
    </w:rPr>
  </w:style>
  <w:style w:type="paragraph" w:customStyle="1" w:styleId="60">
    <w:name w:val="文内标题一"/>
    <w:basedOn w:val="3"/>
    <w:qFormat/>
    <w:uiPriority w:val="0"/>
    <w:pPr>
      <w:keepNext w:val="0"/>
      <w:keepLines w:val="0"/>
      <w:widowControl/>
      <w:numPr>
        <w:numId w:val="0"/>
      </w:numPr>
      <w:ind w:left="1134" w:hanging="1134"/>
    </w:pPr>
    <w:rPr>
      <w:rFonts w:ascii="宋体" w:hAnsi="宋体" w:cstheme="minorBidi"/>
    </w:rPr>
  </w:style>
  <w:style w:type="paragraph" w:customStyle="1" w:styleId="61">
    <w:name w:val="文内标题二"/>
    <w:basedOn w:val="5"/>
    <w:qFormat/>
    <w:uiPriority w:val="0"/>
    <w:pPr>
      <w:numPr>
        <w:ilvl w:val="0"/>
        <w:numId w:val="0"/>
      </w:numPr>
      <w:tabs>
        <w:tab w:val="clear" w:pos="432"/>
      </w:tabs>
      <w:ind w:left="1134" w:hanging="1134"/>
    </w:pPr>
    <w:rPr>
      <w:rFonts w:ascii="Times New Roman" w:hAnsi="Times New Roman" w:cstheme="majorBidi"/>
    </w:rPr>
  </w:style>
  <w:style w:type="paragraph" w:customStyle="1" w:styleId="62">
    <w:name w:val="文内标题三"/>
    <w:basedOn w:val="6"/>
    <w:link w:val="63"/>
    <w:qFormat/>
    <w:uiPriority w:val="0"/>
    <w:pPr>
      <w:widowControl/>
      <w:numPr>
        <w:ilvl w:val="0"/>
        <w:numId w:val="0"/>
      </w:numPr>
      <w:tabs>
        <w:tab w:val="left" w:pos="720"/>
        <w:tab w:val="clear" w:pos="432"/>
        <w:tab w:val="clear" w:pos="578"/>
      </w:tabs>
      <w:jc w:val="left"/>
    </w:pPr>
    <w:rPr>
      <w:rFonts w:cstheme="minorBidi"/>
      <w:kern w:val="2"/>
      <w:szCs w:val="24"/>
    </w:rPr>
  </w:style>
  <w:style w:type="character" w:customStyle="1" w:styleId="63">
    <w:name w:val="文内标题三 字符"/>
    <w:basedOn w:val="38"/>
    <w:link w:val="62"/>
    <w:qFormat/>
    <w:uiPriority w:val="0"/>
    <w:rPr>
      <w:rFonts w:ascii="宋体" w:hAnsi="宋体" w:eastAsia="宋体" w:cstheme="minorBidi"/>
      <w:kern w:val="2"/>
      <w:sz w:val="24"/>
      <w:szCs w:val="24"/>
    </w:rPr>
  </w:style>
  <w:style w:type="paragraph" w:customStyle="1" w:styleId="64">
    <w:name w:val="文内标题四"/>
    <w:basedOn w:val="65"/>
    <w:qFormat/>
    <w:uiPriority w:val="0"/>
    <w:pPr>
      <w:widowControl/>
      <w:tabs>
        <w:tab w:val="left" w:pos="295"/>
        <w:tab w:val="left" w:pos="720"/>
        <w:tab w:val="left" w:pos="727"/>
        <w:tab w:val="left" w:pos="864"/>
      </w:tabs>
      <w:ind w:left="1134" w:hanging="1134"/>
      <w:jc w:val="left"/>
    </w:pPr>
    <w:rPr>
      <w:rFonts w:cs="宋体"/>
    </w:rPr>
  </w:style>
  <w:style w:type="paragraph" w:customStyle="1" w:styleId="65">
    <w:name w:val="Section4"/>
    <w:basedOn w:val="7"/>
    <w:qFormat/>
    <w:uiPriority w:val="0"/>
    <w:pPr>
      <w:numPr>
        <w:ilvl w:val="0"/>
        <w:numId w:val="0"/>
      </w:numPr>
      <w:tabs>
        <w:tab w:val="clear" w:pos="432"/>
      </w:tabs>
    </w:pPr>
    <w:rPr>
      <w:rFonts w:ascii="Times New Roman" w:hAnsi="Times New Roman"/>
      <w:sz w:val="30"/>
    </w:rPr>
  </w:style>
  <w:style w:type="paragraph" w:customStyle="1" w:styleId="66">
    <w:name w:val="正文内容"/>
    <w:basedOn w:val="1"/>
    <w:qFormat/>
    <w:uiPriority w:val="0"/>
    <w:pPr>
      <w:widowControl/>
      <w:ind w:left="210" w:right="210" w:firstLine="504"/>
      <w:jc w:val="left"/>
    </w:pPr>
    <w:rPr>
      <w:rFonts w:cs="宋体"/>
      <w:spacing w:val="6"/>
      <w:szCs w:val="24"/>
    </w:rPr>
  </w:style>
  <w:style w:type="character" w:customStyle="1" w:styleId="67">
    <w:name w:val="正文文本缩进 字符"/>
    <w:basedOn w:val="33"/>
    <w:link w:val="16"/>
    <w:qFormat/>
    <w:uiPriority w:val="0"/>
    <w:rPr>
      <w:rFonts w:ascii="宋体" w:hAnsi="宋体"/>
      <w:sz w:val="21"/>
      <w:szCs w:val="21"/>
    </w:rPr>
  </w:style>
  <w:style w:type="character" w:customStyle="1" w:styleId="68">
    <w:name w:val="纯文本 字符"/>
    <w:basedOn w:val="33"/>
    <w:link w:val="19"/>
    <w:qFormat/>
    <w:uiPriority w:val="0"/>
    <w:rPr>
      <w:rFonts w:hAnsi="Courier New" w:asciiTheme="minorHAnsi" w:eastAsiaTheme="minorEastAsia" w:cstheme="minorBidi"/>
      <w:kern w:val="2"/>
      <w:sz w:val="21"/>
    </w:rPr>
  </w:style>
  <w:style w:type="paragraph" w:customStyle="1" w:styleId="69">
    <w:name w:val="图表内容"/>
    <w:basedOn w:val="1"/>
    <w:qFormat/>
    <w:uiPriority w:val="0"/>
    <w:pPr>
      <w:framePr w:wrap="around" w:vAnchor="text" w:hAnchor="text" w:xAlign="center" w:y="1"/>
      <w:widowControl/>
      <w:spacing w:before="20" w:after="20"/>
      <w:ind w:firstLine="0" w:firstLineChars="0"/>
      <w:jc w:val="center"/>
    </w:pPr>
    <w:rPr>
      <w:rFonts w:cs="宋体"/>
      <w:szCs w:val="20"/>
    </w:rPr>
  </w:style>
  <w:style w:type="character" w:customStyle="1" w:styleId="70">
    <w:name w:val="未处理的提及1"/>
    <w:basedOn w:val="33"/>
    <w:unhideWhenUsed/>
    <w:qFormat/>
    <w:uiPriority w:val="99"/>
    <w:rPr>
      <w:color w:val="605E5C"/>
      <w:shd w:val="clear" w:color="auto" w:fill="E1DFDD"/>
    </w:rPr>
  </w:style>
  <w:style w:type="character" w:customStyle="1" w:styleId="71">
    <w:name w:val="未处理的提及2"/>
    <w:basedOn w:val="33"/>
    <w:unhideWhenUsed/>
    <w:qFormat/>
    <w:uiPriority w:val="99"/>
    <w:rPr>
      <w:color w:val="605E5C"/>
      <w:shd w:val="clear" w:color="auto" w:fill="E1DFDD"/>
    </w:rPr>
  </w:style>
  <w:style w:type="paragraph" w:customStyle="1" w:styleId="72">
    <w:name w:val="p1"/>
    <w:basedOn w:val="1"/>
    <w:qFormat/>
    <w:uiPriority w:val="0"/>
    <w:pPr>
      <w:jc w:val="left"/>
    </w:pPr>
    <w:rPr>
      <w:rFonts w:ascii="PingFang SC" w:hAnsi="PingFang SC" w:eastAsia="PingFang SC"/>
      <w:color w:val="121416"/>
      <w:sz w:val="28"/>
      <w:szCs w:val="28"/>
    </w:rPr>
  </w:style>
  <w:style w:type="paragraph" w:styleId="73">
    <w:name w:val="List Paragraph"/>
    <w:basedOn w:val="1"/>
    <w:qFormat/>
    <w:uiPriority w:val="34"/>
    <w:pPr>
      <w:ind w:firstLine="420"/>
    </w:pPr>
  </w:style>
  <w:style w:type="character" w:customStyle="1" w:styleId="74">
    <w:name w:val="未处理的提及3"/>
    <w:basedOn w:val="3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75">
    <w:name w:val="未处理的提及4"/>
    <w:basedOn w:val="3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76">
    <w:name w:val="未处理的提及5"/>
    <w:basedOn w:val="3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77">
    <w:name w:val="Unresolved Mention"/>
    <w:basedOn w:val="3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78">
    <w:name w:val="15"/>
    <w:basedOn w:val="33"/>
    <w:qFormat/>
    <w:uiPriority w:val="0"/>
    <w:rPr>
      <w:rFonts w:hint="default" w:ascii="Times New Roman" w:hAnsi="Times New Roman" w:cs="Times New Roman"/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3" Type="http://schemas.openxmlformats.org/officeDocument/2006/relationships/fontTable" Target="fontTable.xml"/><Relationship Id="rId62" Type="http://schemas.openxmlformats.org/officeDocument/2006/relationships/customXml" Target="../customXml/item2.xml"/><Relationship Id="rId61" Type="http://schemas.openxmlformats.org/officeDocument/2006/relationships/numbering" Target="numbering.xml"/><Relationship Id="rId60" Type="http://schemas.openxmlformats.org/officeDocument/2006/relationships/customXml" Target="../customXml/item1.xml"/><Relationship Id="rId6" Type="http://schemas.openxmlformats.org/officeDocument/2006/relationships/header" Target="header2.xml"/><Relationship Id="rId59" Type="http://schemas.openxmlformats.org/officeDocument/2006/relationships/image" Target="media/image45.png"/><Relationship Id="rId58" Type="http://schemas.openxmlformats.org/officeDocument/2006/relationships/image" Target="media/image44.png"/><Relationship Id="rId57" Type="http://schemas.openxmlformats.org/officeDocument/2006/relationships/image" Target="media/image43.png"/><Relationship Id="rId56" Type="http://schemas.openxmlformats.org/officeDocument/2006/relationships/image" Target="media/image42.png"/><Relationship Id="rId55" Type="http://schemas.openxmlformats.org/officeDocument/2006/relationships/image" Target="media/image41.png"/><Relationship Id="rId54" Type="http://schemas.openxmlformats.org/officeDocument/2006/relationships/image" Target="media/image40.png"/><Relationship Id="rId53" Type="http://schemas.openxmlformats.org/officeDocument/2006/relationships/image" Target="media/image39.png"/><Relationship Id="rId52" Type="http://schemas.openxmlformats.org/officeDocument/2006/relationships/image" Target="media/image38.png"/><Relationship Id="rId51" Type="http://schemas.openxmlformats.org/officeDocument/2006/relationships/image" Target="media/image37.png"/><Relationship Id="rId50" Type="http://schemas.openxmlformats.org/officeDocument/2006/relationships/image" Target="media/image36.png"/><Relationship Id="rId5" Type="http://schemas.openxmlformats.org/officeDocument/2006/relationships/header" Target="header1.xml"/><Relationship Id="rId49" Type="http://schemas.openxmlformats.org/officeDocument/2006/relationships/image" Target="media/image35.png"/><Relationship Id="rId48" Type="http://schemas.openxmlformats.org/officeDocument/2006/relationships/image" Target="media/image34.png"/><Relationship Id="rId47" Type="http://schemas.openxmlformats.org/officeDocument/2006/relationships/image" Target="media/image33.png"/><Relationship Id="rId46" Type="http://schemas.openxmlformats.org/officeDocument/2006/relationships/image" Target="media/image32.png"/><Relationship Id="rId45" Type="http://schemas.openxmlformats.org/officeDocument/2006/relationships/image" Target="media/image31.png"/><Relationship Id="rId44" Type="http://schemas.openxmlformats.org/officeDocument/2006/relationships/image" Target="media/image30.png"/><Relationship Id="rId43" Type="http://schemas.openxmlformats.org/officeDocument/2006/relationships/image" Target="media/image29.png"/><Relationship Id="rId42" Type="http://schemas.openxmlformats.org/officeDocument/2006/relationships/image" Target="media/image28.png"/><Relationship Id="rId41" Type="http://schemas.openxmlformats.org/officeDocument/2006/relationships/image" Target="media/image27.png"/><Relationship Id="rId40" Type="http://schemas.openxmlformats.org/officeDocument/2006/relationships/image" Target="media/image26.png"/><Relationship Id="rId4" Type="http://schemas.openxmlformats.org/officeDocument/2006/relationships/endnotes" Target="endnotes.xml"/><Relationship Id="rId39" Type="http://schemas.openxmlformats.org/officeDocument/2006/relationships/image" Target="media/image25.png"/><Relationship Id="rId38" Type="http://schemas.openxmlformats.org/officeDocument/2006/relationships/image" Target="media/image24.png"/><Relationship Id="rId37" Type="http://schemas.openxmlformats.org/officeDocument/2006/relationships/image" Target="media/image23.png"/><Relationship Id="rId36" Type="http://schemas.openxmlformats.org/officeDocument/2006/relationships/image" Target="media/image22.png"/><Relationship Id="rId35" Type="http://schemas.openxmlformats.org/officeDocument/2006/relationships/image" Target="media/image21.png"/><Relationship Id="rId34" Type="http://schemas.openxmlformats.org/officeDocument/2006/relationships/image" Target="media/image20.png"/><Relationship Id="rId33" Type="http://schemas.openxmlformats.org/officeDocument/2006/relationships/image" Target="media/image19.png"/><Relationship Id="rId32" Type="http://schemas.openxmlformats.org/officeDocument/2006/relationships/image" Target="media/image18.png"/><Relationship Id="rId31" Type="http://schemas.openxmlformats.org/officeDocument/2006/relationships/image" Target="media/image17.png"/><Relationship Id="rId30" Type="http://schemas.openxmlformats.org/officeDocument/2006/relationships/image" Target="media/image16.png"/><Relationship Id="rId3" Type="http://schemas.openxmlformats.org/officeDocument/2006/relationships/footnotes" Target="footnotes.xml"/><Relationship Id="rId29" Type="http://schemas.openxmlformats.org/officeDocument/2006/relationships/image" Target="media/image15.png"/><Relationship Id="rId28" Type="http://schemas.openxmlformats.org/officeDocument/2006/relationships/image" Target="media/image14.png"/><Relationship Id="rId27" Type="http://schemas.openxmlformats.org/officeDocument/2006/relationships/image" Target="media/image13.png"/><Relationship Id="rId26" Type="http://schemas.openxmlformats.org/officeDocument/2006/relationships/image" Target="media/image12.png"/><Relationship Id="rId25" Type="http://schemas.openxmlformats.org/officeDocument/2006/relationships/image" Target="media/image11.png"/><Relationship Id="rId24" Type="http://schemas.openxmlformats.org/officeDocument/2006/relationships/image" Target="media/image10.png"/><Relationship Id="rId23" Type="http://schemas.openxmlformats.org/officeDocument/2006/relationships/image" Target="media/image9.png"/><Relationship Id="rId22" Type="http://schemas.openxmlformats.org/officeDocument/2006/relationships/image" Target="media/image8.png"/><Relationship Id="rId21" Type="http://schemas.openxmlformats.org/officeDocument/2006/relationships/image" Target="media/image7.png"/><Relationship Id="rId20" Type="http://schemas.openxmlformats.org/officeDocument/2006/relationships/image" Target="media/image6.png"/><Relationship Id="rId2" Type="http://schemas.openxmlformats.org/officeDocument/2006/relationships/settings" Target="settings.xml"/><Relationship Id="rId19" Type="http://schemas.openxmlformats.org/officeDocument/2006/relationships/image" Target="media/image5.png"/><Relationship Id="rId18" Type="http://schemas.openxmlformats.org/officeDocument/2006/relationships/image" Target="media/image4.png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15" Type="http://schemas.openxmlformats.org/officeDocument/2006/relationships/image" Target="media/image1.png"/><Relationship Id="rId14" Type="http://schemas.openxmlformats.org/officeDocument/2006/relationships/theme" Target="theme/theme1.xml"/><Relationship Id="rId13" Type="http://schemas.openxmlformats.org/officeDocument/2006/relationships/footer" Target="footer5.xml"/><Relationship Id="rId12" Type="http://schemas.openxmlformats.org/officeDocument/2006/relationships/header" Target="header4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4F7DF6E-677D-40A5-A53A-7F6D0AB9F53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2552</Words>
  <Characters>2660</Characters>
  <Lines>47</Lines>
  <Paragraphs>13</Paragraphs>
  <TotalTime>4</TotalTime>
  <ScaleCrop>false</ScaleCrop>
  <LinksUpToDate>false</LinksUpToDate>
  <CharactersWithSpaces>2696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2022-05-18T08:55:00Z</dcterms:created>
  <dc:creator>powersi</dc:creator>
  <cp:lastModifiedBy>chase</cp:lastModifiedBy>
  <dcterms:modified xsi:type="dcterms:W3CDTF">2023-12-28T09:12:13Z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28D05B9B46004B73BF2D6742BD5EBAC1</vt:lpwstr>
  </property>
</Properties>
</file>