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0" w:beforeLines="1000"/>
        <w:ind w:firstLine="0" w:firstLineChars="0"/>
        <w:jc w:val="center"/>
        <w:rPr>
          <w:rFonts w:cs="黑体" w:asciiTheme="minorEastAsia" w:hAnsiTheme="minorEastAsia"/>
          <w:b/>
        </w:rPr>
      </w:pPr>
      <w:r>
        <w:rPr>
          <w:rFonts w:cs="微软雅黑" w:asciiTheme="minorEastAsia" w:hAnsiTheme="minorEastAsia"/>
          <w:b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-900430</wp:posOffset>
            </wp:positionV>
            <wp:extent cx="8028305" cy="3080385"/>
            <wp:effectExtent l="0" t="0" r="10795" b="5715"/>
            <wp:wrapNone/>
            <wp:docPr id="1" name="图片 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未标题-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28305" cy="3080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  <w:lang w:val="en-US" w:eastAsia="zh-CN"/>
        </w:rPr>
        <w:t>产品代理企业信息变更-</w:t>
      </w:r>
      <w:r>
        <w:rPr>
          <w:rFonts w:hint="eastAsia" w:ascii="黑体" w:hAnsi="黑体" w:eastAsia="黑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</w:t>
      </w:r>
      <w:r>
        <w:rPr>
          <w:rFonts w:hint="eastAsia" w:ascii="黑体" w:hAnsi="黑体" w:eastAsia="黑体"/>
          <w:b/>
          <w:sz w:val="32"/>
          <w:szCs w:val="16"/>
          <w:lang w:val="en-US" w:eastAsia="zh-CN"/>
        </w:rPr>
        <w:t>1</w:t>
      </w:r>
      <w:bookmarkStart w:id="58" w:name="_GoBack"/>
      <w:bookmarkEnd w:id="58"/>
      <w:r>
        <w:rPr>
          <w:rFonts w:hint="eastAsia" w:ascii="黑体" w:hAnsi="黑体" w:eastAsia="黑体"/>
          <w:b/>
          <w:sz w:val="32"/>
          <w:szCs w:val="16"/>
        </w:rPr>
        <w:t>）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  <w:r>
        <w:rPr>
          <w:rFonts w:hint="eastAsia" w:ascii="黑体" w:hAnsi="黑体" w:eastAsia="黑体"/>
          <w:b/>
          <w:sz w:val="40"/>
          <w:szCs w:val="40"/>
        </w:rPr>
        <w:t>检验试剂招采管理子系统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ind w:firstLine="0" w:firstLineChars="0"/>
      </w:pPr>
    </w:p>
    <w:p>
      <w:pPr>
        <w:widowControl/>
        <w:spacing w:line="240" w:lineRule="auto"/>
        <w:ind w:firstLine="0" w:firstLineChars="0"/>
        <w:jc w:val="left"/>
      </w:pPr>
      <w:r>
        <w:br w:type="page"/>
      </w:r>
    </w:p>
    <w:sdt>
      <w:sdtPr>
        <w:rPr>
          <w:b/>
          <w:bCs/>
          <w:sz w:val="44"/>
          <w:szCs w:val="44"/>
        </w:rPr>
        <w:id w:val="147468637"/>
        <w15:color w:val="DBDBDB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>
          <w:pPr>
            <w:ind w:firstLine="0" w:firstLineChars="0"/>
            <w:jc w:val="center"/>
            <w:rPr>
              <w:b/>
              <w:bCs/>
              <w:sz w:val="44"/>
              <w:szCs w:val="44"/>
            </w:rPr>
          </w:pPr>
          <w:r>
            <w:rPr>
              <w:b/>
              <w:bCs/>
              <w:sz w:val="44"/>
              <w:szCs w:val="44"/>
            </w:rPr>
            <w:t>目录</w:t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_Toc20640 </w:instrText>
          </w:r>
          <w:r>
            <w:fldChar w:fldCharType="separate"/>
          </w:r>
          <w:r>
            <w:rPr>
              <w:rFonts w:hint="eastAsia"/>
            </w:rPr>
            <w:t>第一章 操作使用指南</w:t>
          </w:r>
          <w:r>
            <w:tab/>
          </w:r>
          <w:r>
            <w:fldChar w:fldCharType="begin"/>
          </w:r>
          <w:r>
            <w:instrText xml:space="preserve"> PAGEREF _Toc20640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_Toc27526 </w:instrText>
          </w:r>
          <w:r>
            <w:fldChar w:fldCharType="separate"/>
          </w:r>
          <w:r>
            <w:rPr>
              <w:rFonts w:hint="eastAsia"/>
            </w:rPr>
            <w:t>1.1. 统一门户登录</w:t>
          </w:r>
          <w:r>
            <w:tab/>
          </w:r>
          <w:r>
            <w:fldChar w:fldCharType="begin"/>
          </w:r>
          <w:r>
            <w:instrText xml:space="preserve"> PAGEREF _Toc27526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_Toc28895 </w:instrText>
          </w:r>
          <w:r>
            <w:fldChar w:fldCharType="separate"/>
          </w:r>
          <w:r>
            <w:rPr>
              <w:rFonts w:hint="eastAsia"/>
            </w:rPr>
            <w:t>1.2. 功能描述</w:t>
          </w:r>
          <w:r>
            <w:tab/>
          </w:r>
          <w:r>
            <w:fldChar w:fldCharType="begin"/>
          </w:r>
          <w:r>
            <w:instrText xml:space="preserve"> PAGEREF _Toc28895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_Toc5734 </w:instrText>
          </w:r>
          <w:r>
            <w:fldChar w:fldCharType="separate"/>
          </w:r>
          <w:r>
            <w:rPr>
              <w:rFonts w:hint="eastAsia"/>
            </w:rPr>
            <w:t>1.3. 账号登录</w:t>
          </w:r>
          <w:r>
            <w:tab/>
          </w:r>
          <w:r>
            <w:fldChar w:fldCharType="begin"/>
          </w:r>
          <w:r>
            <w:instrText xml:space="preserve"> PAGEREF _Toc5734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_Toc7693 </w:instrText>
          </w:r>
          <w:r>
            <w:fldChar w:fldCharType="separate"/>
          </w:r>
          <w:r>
            <w:rPr>
              <w:rFonts w:hint="eastAsia"/>
            </w:rPr>
            <w:t xml:space="preserve">第二章 </w:t>
          </w:r>
          <w:r>
            <w:rPr>
              <w:rFonts w:hint="eastAsia"/>
              <w:lang w:val="en-US" w:eastAsia="zh-CN"/>
            </w:rPr>
            <w:t>生产企业</w:t>
          </w:r>
          <w:r>
            <w:tab/>
          </w:r>
          <w:r>
            <w:fldChar w:fldCharType="begin"/>
          </w:r>
          <w:r>
            <w:instrText xml:space="preserve"> PAGEREF _Toc7693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_Toc5013 </w:instrText>
          </w:r>
          <w:r>
            <w:fldChar w:fldCharType="separate"/>
          </w:r>
          <w:r>
            <w:rPr>
              <w:rFonts w:hint="eastAsia"/>
            </w:rPr>
            <w:t xml:space="preserve">2.1. </w:t>
          </w:r>
          <w:r>
            <w:rPr>
              <w:rFonts w:hint="eastAsia"/>
              <w:lang w:val="en-US" w:eastAsia="zh-CN"/>
            </w:rPr>
            <w:t>产品代理企业信息变更</w:t>
          </w:r>
          <w:r>
            <w:tab/>
          </w:r>
          <w:r>
            <w:fldChar w:fldCharType="begin"/>
          </w:r>
          <w:r>
            <w:instrText xml:space="preserve"> PAGEREF _Toc5013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_Toc28147 </w:instrText>
          </w:r>
          <w:r>
            <w:fldChar w:fldCharType="separate"/>
          </w:r>
          <w:r>
            <w:rPr>
              <w:rFonts w:hint="eastAsia"/>
            </w:rPr>
            <w:t xml:space="preserve">2.1.1.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_Toc28147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_Toc19618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_Toc19618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_Toc19246 </w:instrText>
          </w:r>
          <w:r>
            <w:fldChar w:fldCharType="separate"/>
          </w:r>
          <w:r>
            <w:rPr>
              <w:rFonts w:hint="eastAsia"/>
            </w:rPr>
            <w:t xml:space="preserve">2.1.3.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_Toc19246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_Toc5107 </w:instrText>
          </w:r>
          <w:r>
            <w:fldChar w:fldCharType="separate"/>
          </w:r>
          <w:r>
            <w:rPr>
              <w:rFonts w:hint="eastAsia"/>
            </w:rPr>
            <w:t xml:space="preserve">2.1.4.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_Toc5107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_Toc28631 </w:instrText>
          </w:r>
          <w:r>
            <w:fldChar w:fldCharType="separate"/>
          </w:r>
          <w:r>
            <w:rPr>
              <w:rFonts w:hint="eastAsia"/>
            </w:rPr>
            <w:t xml:space="preserve">2.2. </w:t>
          </w:r>
          <w:r>
            <w:rPr>
              <w:rFonts w:hint="eastAsia"/>
              <w:lang w:val="en-US" w:eastAsia="zh-CN"/>
            </w:rPr>
            <w:t>产品代理企业信息变更（企业确认端）</w:t>
          </w:r>
          <w:r>
            <w:tab/>
          </w:r>
          <w:r>
            <w:fldChar w:fldCharType="begin"/>
          </w:r>
          <w:r>
            <w:instrText xml:space="preserve"> PAGEREF _Toc28631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_Toc28486 </w:instrText>
          </w:r>
          <w:r>
            <w:fldChar w:fldCharType="separate"/>
          </w:r>
          <w:r>
            <w:rPr>
              <w:rFonts w:hint="eastAsia"/>
            </w:rPr>
            <w:t xml:space="preserve">2.2.1.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_Toc28486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_Toc22166 </w:instrText>
          </w:r>
          <w:r>
            <w:fldChar w:fldCharType="separate"/>
          </w:r>
          <w:r>
            <w:rPr>
              <w:rFonts w:hint="eastAsia"/>
            </w:rPr>
            <w:t xml:space="preserve">2.2.2.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_Toc22166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_Toc21243 </w:instrText>
          </w:r>
          <w:r>
            <w:fldChar w:fldCharType="separate"/>
          </w:r>
          <w:r>
            <w:rPr>
              <w:rFonts w:hint="eastAsia"/>
            </w:rPr>
            <w:t xml:space="preserve">2.2.3.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_Toc21243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_Toc23876 </w:instrText>
          </w:r>
          <w:r>
            <w:fldChar w:fldCharType="separate"/>
          </w:r>
          <w:r>
            <w:rPr>
              <w:rFonts w:hint="eastAsia"/>
            </w:rPr>
            <w:t xml:space="preserve">2.2.4.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_Toc23876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_Toc15538 </w:instrText>
          </w:r>
          <w:r>
            <w:fldChar w:fldCharType="separate"/>
          </w:r>
          <w:r>
            <w:rPr>
              <w:rFonts w:hint="eastAsia"/>
            </w:rPr>
            <w:t xml:space="preserve">2.3. </w:t>
          </w:r>
          <w:r>
            <w:rPr>
              <w:rFonts w:hint="eastAsia"/>
              <w:lang w:val="en-US" w:eastAsia="zh-CN"/>
            </w:rPr>
            <w:t>产品代理企业信息变更公示</w:t>
          </w:r>
          <w:r>
            <w:tab/>
          </w:r>
          <w:r>
            <w:fldChar w:fldCharType="begin"/>
          </w:r>
          <w:r>
            <w:instrText xml:space="preserve"> PAGEREF _Toc15538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_Toc28026 </w:instrText>
          </w:r>
          <w:r>
            <w:fldChar w:fldCharType="separate"/>
          </w:r>
          <w:r>
            <w:rPr>
              <w:rFonts w:hint="eastAsia"/>
            </w:rPr>
            <w:t xml:space="preserve">2.3.1.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_Toc28026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_Toc20505 </w:instrText>
          </w:r>
          <w:r>
            <w:fldChar w:fldCharType="separate"/>
          </w:r>
          <w:r>
            <w:rPr>
              <w:rFonts w:hint="eastAsia"/>
            </w:rPr>
            <w:t xml:space="preserve">2.3.2.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_Toc20505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_Toc25286 </w:instrText>
          </w:r>
          <w:r>
            <w:fldChar w:fldCharType="separate"/>
          </w:r>
          <w:r>
            <w:rPr>
              <w:rFonts w:hint="eastAsia"/>
            </w:rPr>
            <w:t xml:space="preserve">2.3.3.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_Toc25286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_Toc28372 </w:instrText>
          </w:r>
          <w:r>
            <w:fldChar w:fldCharType="separate"/>
          </w:r>
          <w:r>
            <w:rPr>
              <w:rFonts w:hint="eastAsia"/>
            </w:rPr>
            <w:t xml:space="preserve">2.3.4.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_Toc28372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_Toc25435 </w:instrText>
          </w:r>
          <w:r>
            <w:fldChar w:fldCharType="separate"/>
          </w:r>
          <w:r>
            <w:rPr>
              <w:rFonts w:hint="eastAsia"/>
            </w:rPr>
            <w:t xml:space="preserve">2.4. </w:t>
          </w:r>
          <w:r>
            <w:rPr>
              <w:rFonts w:hint="eastAsia"/>
              <w:lang w:val="en-US" w:eastAsia="zh-CN"/>
            </w:rPr>
            <w:t>企业申投诉</w:t>
          </w:r>
          <w:r>
            <w:tab/>
          </w:r>
          <w:r>
            <w:fldChar w:fldCharType="begin"/>
          </w:r>
          <w:r>
            <w:instrText xml:space="preserve"> PAGEREF _Toc25435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_Toc19679 </w:instrText>
          </w:r>
          <w:r>
            <w:fldChar w:fldCharType="separate"/>
          </w:r>
          <w:r>
            <w:rPr>
              <w:rFonts w:hint="eastAsia"/>
            </w:rPr>
            <w:t xml:space="preserve">2.4.1.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_Toc19679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_Toc18298 </w:instrText>
          </w:r>
          <w:r>
            <w:fldChar w:fldCharType="separate"/>
          </w:r>
          <w:r>
            <w:rPr>
              <w:rFonts w:hint="eastAsia"/>
            </w:rPr>
            <w:t xml:space="preserve">2.4.2.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_Toc18298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_Toc19684 </w:instrText>
          </w:r>
          <w:r>
            <w:fldChar w:fldCharType="separate"/>
          </w:r>
          <w:r>
            <w:rPr>
              <w:rFonts w:hint="eastAsia"/>
            </w:rPr>
            <w:t xml:space="preserve">2.4.3.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_Toc19684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_Toc19685 </w:instrText>
          </w:r>
          <w:r>
            <w:fldChar w:fldCharType="separate"/>
          </w:r>
          <w:r>
            <w:rPr>
              <w:rFonts w:hint="eastAsia"/>
            </w:rPr>
            <w:t xml:space="preserve">2.4.4.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_Toc19685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_Toc3157 </w:instrText>
          </w:r>
          <w:r>
            <w:fldChar w:fldCharType="separate"/>
          </w:r>
          <w:r>
            <w:rPr>
              <w:rFonts w:hint="eastAsia"/>
            </w:rPr>
            <w:t xml:space="preserve">第三章 </w:t>
          </w:r>
          <w:r>
            <w:rPr>
              <w:rFonts w:hint="eastAsia"/>
              <w:lang w:val="en-US" w:eastAsia="zh-CN"/>
            </w:rPr>
            <w:t>医保局</w:t>
          </w:r>
          <w:r>
            <w:tab/>
          </w:r>
          <w:r>
            <w:fldChar w:fldCharType="begin"/>
          </w:r>
          <w:r>
            <w:instrText xml:space="preserve"> PAGEREF _Toc3157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_Toc32534 </w:instrText>
          </w:r>
          <w:r>
            <w:fldChar w:fldCharType="separate"/>
          </w:r>
          <w:r>
            <w:rPr>
              <w:rFonts w:hint="eastAsia"/>
            </w:rPr>
            <w:t xml:space="preserve">3.1. </w:t>
          </w:r>
          <w:r>
            <w:rPr>
              <w:rFonts w:hint="eastAsia"/>
              <w:lang w:val="en-US" w:eastAsia="zh-CN"/>
            </w:rPr>
            <w:t>产品代理企业信息变更审核</w:t>
          </w:r>
          <w:r>
            <w:tab/>
          </w:r>
          <w:r>
            <w:fldChar w:fldCharType="begin"/>
          </w:r>
          <w:r>
            <w:instrText xml:space="preserve"> PAGEREF _Toc32534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_Toc1361 </w:instrText>
          </w:r>
          <w:r>
            <w:fldChar w:fldCharType="separate"/>
          </w:r>
          <w:r>
            <w:rPr>
              <w:rFonts w:hint="eastAsia"/>
            </w:rPr>
            <w:t xml:space="preserve">3.1.1.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_Toc1361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_Toc16920 </w:instrText>
          </w:r>
          <w:r>
            <w:fldChar w:fldCharType="separate"/>
          </w:r>
          <w:r>
            <w:rPr>
              <w:rFonts w:hint="eastAsia"/>
            </w:rPr>
            <w:t xml:space="preserve">3.1.2.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_Toc16920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_Toc7313 </w:instrText>
          </w:r>
          <w:r>
            <w:fldChar w:fldCharType="separate"/>
          </w:r>
          <w:r>
            <w:rPr>
              <w:rFonts w:hint="eastAsia"/>
            </w:rPr>
            <w:t xml:space="preserve">3.1.3.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_Toc7313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_Toc7467 </w:instrText>
          </w:r>
          <w:r>
            <w:fldChar w:fldCharType="separate"/>
          </w:r>
          <w:r>
            <w:rPr>
              <w:rFonts w:hint="eastAsia"/>
            </w:rPr>
            <w:t xml:space="preserve">3.1.4.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_Toc7467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_Toc25595 </w:instrText>
          </w:r>
          <w:r>
            <w:fldChar w:fldCharType="separate"/>
          </w:r>
          <w:r>
            <w:rPr>
              <w:rFonts w:hint="eastAsia"/>
            </w:rPr>
            <w:t xml:space="preserve">3.2. </w:t>
          </w:r>
          <w:r>
            <w:rPr>
              <w:rFonts w:hint="eastAsia"/>
              <w:lang w:val="en-US" w:eastAsia="zh-CN"/>
            </w:rPr>
            <w:t>产品代理企业信息变更公示</w:t>
          </w:r>
          <w:r>
            <w:tab/>
          </w:r>
          <w:r>
            <w:fldChar w:fldCharType="begin"/>
          </w:r>
          <w:r>
            <w:instrText xml:space="preserve"> PAGEREF _Toc25595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_Toc2981 </w:instrText>
          </w:r>
          <w:r>
            <w:fldChar w:fldCharType="separate"/>
          </w:r>
          <w:r>
            <w:rPr>
              <w:rFonts w:hint="eastAsia"/>
            </w:rPr>
            <w:t xml:space="preserve">3.2.1.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_Toc2981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_Toc24200 </w:instrText>
          </w:r>
          <w:r>
            <w:fldChar w:fldCharType="separate"/>
          </w:r>
          <w:r>
            <w:rPr>
              <w:rFonts w:hint="eastAsia"/>
            </w:rPr>
            <w:t xml:space="preserve">3.2.2.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_Toc24200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_Toc3495 </w:instrText>
          </w:r>
          <w:r>
            <w:fldChar w:fldCharType="separate"/>
          </w:r>
          <w:r>
            <w:rPr>
              <w:rFonts w:hint="eastAsia"/>
            </w:rPr>
            <w:t xml:space="preserve">3.2.3.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_Toc3495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_Toc14498 </w:instrText>
          </w:r>
          <w:r>
            <w:fldChar w:fldCharType="separate"/>
          </w:r>
          <w:r>
            <w:rPr>
              <w:rFonts w:hint="eastAsia"/>
            </w:rPr>
            <w:t xml:space="preserve">3.2.4.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_Toc14498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_Toc16283 </w:instrText>
          </w:r>
          <w:r>
            <w:fldChar w:fldCharType="separate"/>
          </w:r>
          <w:r>
            <w:rPr>
              <w:rFonts w:hint="eastAsia"/>
            </w:rPr>
            <w:t xml:space="preserve">3.3. </w:t>
          </w:r>
          <w:r>
            <w:rPr>
              <w:rFonts w:hint="eastAsia"/>
              <w:lang w:val="en-US" w:eastAsia="zh-CN"/>
            </w:rPr>
            <w:t>申投诉处理</w:t>
          </w:r>
          <w:r>
            <w:tab/>
          </w:r>
          <w:r>
            <w:fldChar w:fldCharType="begin"/>
          </w:r>
          <w:r>
            <w:instrText xml:space="preserve"> PAGEREF _Toc16283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_Toc16420 </w:instrText>
          </w:r>
          <w:r>
            <w:fldChar w:fldCharType="separate"/>
          </w:r>
          <w:r>
            <w:rPr>
              <w:rFonts w:hint="eastAsia"/>
            </w:rPr>
            <w:t xml:space="preserve">3.3.1.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_Toc16420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_Toc13982 </w:instrText>
          </w:r>
          <w:r>
            <w:fldChar w:fldCharType="separate"/>
          </w:r>
          <w:r>
            <w:rPr>
              <w:rFonts w:hint="eastAsia"/>
            </w:rPr>
            <w:t xml:space="preserve">3.3.2.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_Toc13982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_Toc414 </w:instrText>
          </w:r>
          <w:r>
            <w:fldChar w:fldCharType="separate"/>
          </w:r>
          <w:r>
            <w:rPr>
              <w:rFonts w:hint="eastAsia"/>
            </w:rPr>
            <w:t xml:space="preserve">3.3.3.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_Toc414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_Toc4418 </w:instrText>
          </w:r>
          <w:r>
            <w:fldChar w:fldCharType="separate"/>
          </w:r>
          <w:r>
            <w:rPr>
              <w:rFonts w:hint="eastAsia"/>
            </w:rPr>
            <w:t xml:space="preserve">3.3.4.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_Toc4418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ind w:firstLine="420"/>
            <w:sectPr>
              <w:headerReference r:id="rId7" w:type="first"/>
              <w:footerReference r:id="rId10" w:type="first"/>
              <w:headerReference r:id="rId5" w:type="default"/>
              <w:footerReference r:id="rId8" w:type="default"/>
              <w:headerReference r:id="rId6" w:type="even"/>
              <w:footerReference r:id="rId9" w:type="even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3"/>
        <w:ind w:hanging="432"/>
      </w:pPr>
      <w:bookmarkStart w:id="0" w:name="_Toc39353696"/>
      <w:bookmarkStart w:id="1" w:name="_Toc50877216"/>
      <w:bookmarkStart w:id="2" w:name="_Toc20640"/>
      <w:r>
        <w:rPr>
          <w:rFonts w:hint="eastAsia"/>
        </w:rPr>
        <w:t>操作使用指南</w:t>
      </w:r>
      <w:bookmarkEnd w:id="0"/>
      <w:bookmarkEnd w:id="1"/>
      <w:bookmarkEnd w:id="2"/>
    </w:p>
    <w:p>
      <w:pPr>
        <w:pStyle w:val="5"/>
        <w:tabs>
          <w:tab w:val="clear" w:pos="576"/>
        </w:tabs>
        <w:ind w:left="785" w:hanging="575"/>
      </w:pPr>
      <w:bookmarkStart w:id="3" w:name="_Toc39352543"/>
      <w:bookmarkStart w:id="4" w:name="_Toc50877218"/>
      <w:bookmarkStart w:id="5" w:name="_Toc39320144"/>
      <w:bookmarkStart w:id="6" w:name="_Toc39336992"/>
      <w:bookmarkStart w:id="7" w:name="_Toc39352861"/>
      <w:bookmarkStart w:id="8" w:name="_Toc27526"/>
      <w:bookmarkStart w:id="9" w:name="_Toc545"/>
      <w:bookmarkStart w:id="10" w:name="_Toc22471"/>
      <w:r>
        <w:rPr>
          <w:rFonts w:hint="eastAsia"/>
        </w:rPr>
        <w:t>统一门户登录</w:t>
      </w:r>
      <w:bookmarkEnd w:id="3"/>
      <w:bookmarkEnd w:id="4"/>
      <w:bookmarkEnd w:id="5"/>
      <w:bookmarkEnd w:id="6"/>
      <w:bookmarkEnd w:id="7"/>
      <w:bookmarkEnd w:id="8"/>
    </w:p>
    <w:p>
      <w:pPr>
        <w:pStyle w:val="5"/>
        <w:tabs>
          <w:tab w:val="clear" w:pos="576"/>
        </w:tabs>
        <w:ind w:left="785" w:hanging="575"/>
      </w:pPr>
      <w:bookmarkStart w:id="11" w:name="_Toc39352544"/>
      <w:bookmarkStart w:id="12" w:name="_Toc39352862"/>
      <w:bookmarkStart w:id="13" w:name="_Toc39336993"/>
      <w:bookmarkStart w:id="14" w:name="_Toc28895"/>
      <w:bookmarkStart w:id="15" w:name="_Toc50877219"/>
      <w:r>
        <w:rPr>
          <w:rFonts w:hint="eastAsia"/>
        </w:rPr>
        <w:t>功能描述</w:t>
      </w:r>
      <w:bookmarkEnd w:id="11"/>
      <w:bookmarkEnd w:id="12"/>
      <w:bookmarkEnd w:id="13"/>
      <w:bookmarkEnd w:id="14"/>
      <w:bookmarkEnd w:id="15"/>
    </w:p>
    <w:p>
      <w:pPr>
        <w:ind w:firstLine="420"/>
        <w:rPr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平台提供统一登录入口、统一认证和授权、统一工作和沟通机制以及基本办公功能，同时在个人工作台提供各业务系统核心展示和交互界面功能，便于工作人员查看处理工作信息。实现各级医保信息化平台系统的一体化衔接，实现全国医保系统一体化，对各级医保局工作人员来说，登录一个门户，就能使用全部功能，包括上级部门统一建设开放的功能。实现信息有效的流通，实现有效管理，信息集中管理、支持医保体系信息共享。</w:t>
      </w:r>
    </w:p>
    <w:p>
      <w:pPr>
        <w:pStyle w:val="5"/>
        <w:tabs>
          <w:tab w:val="clear" w:pos="576"/>
        </w:tabs>
        <w:ind w:left="785" w:hanging="575"/>
      </w:pPr>
      <w:bookmarkStart w:id="16" w:name="_Toc50877220"/>
      <w:bookmarkStart w:id="17" w:name="_Toc39336994"/>
      <w:bookmarkStart w:id="18" w:name="_Toc5734"/>
      <w:bookmarkStart w:id="19" w:name="_Toc39352545"/>
      <w:bookmarkStart w:id="20" w:name="_Toc39352863"/>
      <w:r>
        <w:rPr>
          <w:rFonts w:hint="eastAsia"/>
        </w:rPr>
        <w:t>账号登录</w:t>
      </w:r>
      <w:bookmarkEnd w:id="16"/>
      <w:bookmarkEnd w:id="17"/>
      <w:bookmarkEnd w:id="18"/>
      <w:bookmarkEnd w:id="19"/>
      <w:bookmarkEnd w:id="20"/>
    </w:p>
    <w:p>
      <w:pPr>
        <w:numPr>
          <w:ilvl w:val="0"/>
          <w:numId w:val="5"/>
        </w:numPr>
        <w:ind w:firstLine="420"/>
        <w:rPr>
          <w:rFonts w:cs="微软雅黑"/>
          <w:kern w:val="44"/>
        </w:rPr>
      </w:pPr>
      <w:r>
        <w:rPr>
          <w:rFonts w:cs="微软雅黑"/>
          <w:kern w:val="44"/>
        </w:rPr>
        <w:t>使用地址</w:t>
      </w:r>
      <w:r>
        <w:rPr>
          <w:rFonts w:hint="eastAsia" w:cs="微软雅黑"/>
          <w:kern w:val="44"/>
        </w:rPr>
        <w:t>：http://sjsb.ahyycg.cn/login</w:t>
      </w:r>
      <w:r>
        <w:rPr>
          <w:rFonts w:cs="微软雅黑"/>
          <w:kern w:val="44"/>
        </w:rPr>
        <w:t>登录</w:t>
      </w:r>
      <w:r>
        <w:rPr>
          <w:rFonts w:hint="eastAsia" w:cs="微软雅黑"/>
          <w:kern w:val="44"/>
        </w:rPr>
        <w:t>平台；</w:t>
      </w:r>
    </w:p>
    <w:p>
      <w:pPr>
        <w:numPr>
          <w:ilvl w:val="0"/>
          <w:numId w:val="5"/>
        </w:numPr>
        <w:ind w:firstLine="420"/>
        <w:rPr>
          <w:rFonts w:cs="微软雅黑"/>
        </w:rPr>
      </w:pPr>
      <w:r>
        <w:rPr>
          <w:rFonts w:hint="eastAsia" w:cs="微软雅黑"/>
        </w:rPr>
        <w:t>输入用户名、密码和验证码，点击“登录”进入系统。</w:t>
      </w:r>
    </w:p>
    <w:p>
      <w:pPr>
        <w:pStyle w:val="26"/>
        <w:jc w:val="center"/>
      </w:pPr>
      <w:r>
        <w:drawing>
          <wp:inline distT="0" distB="0" distL="114300" distR="114300">
            <wp:extent cx="5263515" cy="2317750"/>
            <wp:effectExtent l="0" t="0" r="6985" b="635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tabs>
          <w:tab w:val="left" w:pos="0"/>
          <w:tab w:val="clear" w:pos="432"/>
        </w:tabs>
        <w:bidi w:val="0"/>
        <w:ind w:left="0" w:leftChars="-200" w:hanging="420" w:firstLineChars="0"/>
      </w:pPr>
      <w:bookmarkStart w:id="21" w:name="_Toc7693"/>
      <w:r>
        <w:rPr>
          <w:rFonts w:hint="eastAsia"/>
          <w:lang w:val="en-US" w:eastAsia="zh-CN"/>
        </w:rPr>
        <w:t>生产企业</w:t>
      </w:r>
      <w:bookmarkEnd w:id="21"/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2" w:name="_Toc5013"/>
      <w:r>
        <w:rPr>
          <w:rFonts w:hint="eastAsia"/>
          <w:lang w:val="en-US" w:eastAsia="zh-CN"/>
        </w:rPr>
        <w:t>产品代理企业信息变更</w:t>
      </w:r>
      <w:bookmarkEnd w:id="22"/>
    </w:p>
    <w:p>
      <w:pPr>
        <w:pStyle w:val="6"/>
        <w:bidi w:val="0"/>
        <w:ind w:left="723" w:leftChars="0" w:hanging="723" w:hangingChars="300"/>
      </w:pPr>
      <w:bookmarkStart w:id="23" w:name="_Toc28147"/>
      <w:r>
        <w:rPr>
          <w:rFonts w:hint="eastAsia"/>
          <w:lang w:val="en-US" w:eastAsia="zh-CN"/>
        </w:rPr>
        <w:t>功能描述</w:t>
      </w:r>
      <w:bookmarkEnd w:id="23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介绍生产/配送企业的产品代理企业信息变更；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24" w:name="_Toc19618"/>
      <w:r>
        <w:rPr>
          <w:rFonts w:hint="eastAsia"/>
          <w:lang w:val="en-US" w:eastAsia="zh-CN"/>
        </w:rPr>
        <w:t>操作权限</w:t>
      </w:r>
      <w:bookmarkEnd w:id="24"/>
    </w:p>
    <w:p>
      <w:pPr>
        <w:rPr>
          <w:rFonts w:hint="default" w:eastAsia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生产/代理企业的产品代理企业信息变更申请、保存、编辑、提交、查看等操作；</w:t>
      </w:r>
    </w:p>
    <w:p>
      <w:pPr>
        <w:pStyle w:val="6"/>
        <w:bidi w:val="0"/>
        <w:ind w:left="723" w:leftChars="0" w:hanging="723" w:hangingChars="300"/>
      </w:pPr>
      <w:bookmarkStart w:id="25" w:name="_Toc19246"/>
      <w:r>
        <w:rPr>
          <w:rFonts w:hint="eastAsia"/>
          <w:lang w:val="en-US" w:eastAsia="zh-CN"/>
        </w:rPr>
        <w:t>操作流程</w:t>
      </w:r>
      <w:bookmarkEnd w:id="25"/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打开检验试剂招采管理子系统页面，点击【检验试剂招采&gt;信息变更&gt;产品代理企业信息变更】；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2054860"/>
            <wp:effectExtent l="0" t="0" r="635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点击【申请变更】，进入产品变更页面；点击【选择注册证】，进入注册证列表，选择对应的数据，返回主页面，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3675" cy="2359025"/>
            <wp:effectExtent l="0" t="0" r="9525" b="317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5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填写新注册证信息，点击【保存】或【保存并提交】，保存后数据可以编辑、查看、提交；</w:t>
      </w:r>
    </w:p>
    <w:p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5273675" cy="1471295"/>
            <wp:effectExtent l="0" t="0" r="9525" b="190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7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26" w:name="_Toc5107"/>
      <w:r>
        <w:rPr>
          <w:rFonts w:hint="eastAsia"/>
          <w:lang w:val="en-US" w:eastAsia="zh-CN"/>
        </w:rPr>
        <w:t>注意事项</w:t>
      </w:r>
      <w:bookmarkEnd w:id="26"/>
    </w:p>
    <w:p>
      <w:p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医保机构打回的数据，注册证变更提交后到原代理企业处理；注册证不变，直接到医保机构处理；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27" w:name="_Toc28631"/>
      <w:r>
        <w:rPr>
          <w:rFonts w:hint="eastAsia"/>
          <w:lang w:val="en-US" w:eastAsia="zh-CN"/>
        </w:rPr>
        <w:t>产品代理企业信息变更（企业确认端）</w:t>
      </w:r>
      <w:bookmarkEnd w:id="27"/>
    </w:p>
    <w:p>
      <w:pPr>
        <w:pStyle w:val="6"/>
        <w:bidi w:val="0"/>
        <w:ind w:left="723" w:leftChars="0" w:hanging="723" w:hangingChars="300"/>
      </w:pPr>
      <w:bookmarkStart w:id="28" w:name="_Toc28486"/>
      <w:r>
        <w:rPr>
          <w:rFonts w:hint="eastAsia"/>
          <w:lang w:val="en-US" w:eastAsia="zh-CN"/>
        </w:rPr>
        <w:t>功能描述</w:t>
      </w:r>
      <w:bookmarkEnd w:id="28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原代理企业处理；</w:t>
      </w:r>
    </w:p>
    <w:p>
      <w:pPr>
        <w:pStyle w:val="6"/>
        <w:bidi w:val="0"/>
        <w:ind w:left="723" w:leftChars="0" w:hanging="723" w:hangingChars="300"/>
      </w:pPr>
      <w:bookmarkStart w:id="29" w:name="_Toc22166"/>
      <w:r>
        <w:rPr>
          <w:rFonts w:hint="eastAsia"/>
          <w:lang w:val="en-US" w:eastAsia="zh-CN"/>
        </w:rPr>
        <w:t>操作权限</w:t>
      </w:r>
      <w:bookmarkEnd w:id="2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原代理企业处理、查看、查询；</w:t>
      </w:r>
    </w:p>
    <w:p>
      <w:pPr>
        <w:pStyle w:val="6"/>
        <w:bidi w:val="0"/>
        <w:ind w:left="723" w:leftChars="0" w:hanging="723" w:hangingChars="300"/>
      </w:pPr>
      <w:bookmarkStart w:id="30" w:name="_Toc21243"/>
      <w:r>
        <w:rPr>
          <w:rFonts w:hint="eastAsia"/>
          <w:lang w:val="en-US" w:eastAsia="zh-CN"/>
        </w:rPr>
        <w:t>操作流程</w:t>
      </w:r>
      <w:bookmarkEnd w:id="30"/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登录检验试剂招采管理子系统，点击【检验试剂招采&gt;公示管理&gt;产品代理企业信息变更(企业确认端)】；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986915"/>
            <wp:effectExtent l="0" t="0" r="3810" b="698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选择待处理的数据，点击【处理】，进入确认页面，点击【同意】，数据进入公示；点击【拒绝】，数据进入医保机构审核；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277110"/>
            <wp:effectExtent l="0" t="0" r="3810" b="889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1" w:name="_Toc23876"/>
      <w:r>
        <w:rPr>
          <w:rFonts w:hint="eastAsia"/>
          <w:lang w:val="en-US" w:eastAsia="zh-CN"/>
        </w:rPr>
        <w:t>注意事项</w:t>
      </w:r>
      <w:bookmarkEnd w:id="31"/>
    </w:p>
    <w:p>
      <w:pPr>
        <w:rPr>
          <w:rFonts w:hint="default"/>
          <w:lang w:val="en-US"/>
        </w:rPr>
      </w:pPr>
      <w:r>
        <w:rPr>
          <w:rFonts w:hint="eastAsia"/>
          <w:color w:val="FF0000"/>
          <w:lang w:val="en-US" w:eastAsia="zh-CN"/>
        </w:rPr>
        <w:t>原企业不处理，30个自然日后进入医保机构审核。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2" w:name="_Toc15538"/>
      <w:r>
        <w:rPr>
          <w:rFonts w:hint="eastAsia"/>
          <w:lang w:val="en-US" w:eastAsia="zh-CN"/>
        </w:rPr>
        <w:t>产品代理企业信息变更公示</w:t>
      </w:r>
      <w:bookmarkEnd w:id="32"/>
    </w:p>
    <w:p>
      <w:pPr>
        <w:pStyle w:val="6"/>
        <w:bidi w:val="0"/>
        <w:ind w:left="723" w:leftChars="0" w:hanging="723" w:hangingChars="300"/>
      </w:pPr>
      <w:bookmarkStart w:id="33" w:name="_Toc28026"/>
      <w:r>
        <w:rPr>
          <w:rFonts w:hint="eastAsia"/>
          <w:lang w:val="en-US" w:eastAsia="zh-CN"/>
        </w:rPr>
        <w:t>功能描述</w:t>
      </w:r>
      <w:bookmarkEnd w:id="33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产品代理企业信息变更公示；</w:t>
      </w:r>
    </w:p>
    <w:p>
      <w:pPr>
        <w:pStyle w:val="6"/>
        <w:bidi w:val="0"/>
        <w:ind w:left="723" w:leftChars="0" w:hanging="723" w:hangingChars="300"/>
      </w:pPr>
      <w:bookmarkStart w:id="34" w:name="_Toc20505"/>
      <w:r>
        <w:rPr>
          <w:rFonts w:hint="eastAsia"/>
          <w:lang w:val="en-US" w:eastAsia="zh-CN"/>
        </w:rPr>
        <w:t>操作权限</w:t>
      </w:r>
      <w:bookmarkEnd w:id="3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产品代理企业信息变更公示查询、查看；</w:t>
      </w:r>
    </w:p>
    <w:p>
      <w:pPr>
        <w:pStyle w:val="6"/>
        <w:bidi w:val="0"/>
        <w:ind w:left="723" w:leftChars="0" w:hanging="723" w:hangingChars="300"/>
      </w:pPr>
      <w:bookmarkStart w:id="35" w:name="_Toc25286"/>
      <w:r>
        <w:rPr>
          <w:rFonts w:hint="eastAsia"/>
          <w:lang w:val="en-US" w:eastAsia="zh-CN"/>
        </w:rPr>
        <w:t>操作流程</w:t>
      </w:r>
      <w:bookmarkEnd w:id="35"/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登录检验试剂招采管理子系统，点击【检验试剂招采&gt;公示管理&gt;产品代理企业信息变更公示】，列表显示产品代理企业信息变更公示；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7960" cy="2228215"/>
            <wp:effectExtent l="0" t="0" r="2540" b="698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2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6" w:name="_Toc28372"/>
      <w:r>
        <w:rPr>
          <w:rFonts w:hint="eastAsia"/>
          <w:lang w:val="en-US" w:eastAsia="zh-CN"/>
        </w:rPr>
        <w:t>注意事项</w:t>
      </w:r>
      <w:bookmarkEnd w:id="36"/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企业只能查看最近3个工作日的公示数据，无申投诉3个工作日后进交易。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7" w:name="_Toc25435"/>
      <w:r>
        <w:rPr>
          <w:rFonts w:hint="eastAsia"/>
          <w:lang w:val="en-US" w:eastAsia="zh-CN"/>
        </w:rPr>
        <w:t>企业申投诉</w:t>
      </w:r>
      <w:bookmarkEnd w:id="37"/>
    </w:p>
    <w:bookmarkEnd w:id="9"/>
    <w:bookmarkEnd w:id="10"/>
    <w:p>
      <w:pPr>
        <w:pStyle w:val="6"/>
        <w:bidi w:val="0"/>
        <w:ind w:left="723" w:leftChars="0" w:hanging="723" w:hangingChars="300"/>
      </w:pPr>
      <w:bookmarkStart w:id="38" w:name="_Toc19679"/>
      <w:r>
        <w:rPr>
          <w:rFonts w:hint="eastAsia"/>
          <w:lang w:val="en-US" w:eastAsia="zh-CN"/>
        </w:rPr>
        <w:t>功能描述</w:t>
      </w:r>
      <w:bookmarkEnd w:id="38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对最近3个工作日公示的数据有异议的，进行申投诉；</w:t>
      </w:r>
    </w:p>
    <w:p>
      <w:pPr>
        <w:pStyle w:val="6"/>
        <w:bidi w:val="0"/>
        <w:ind w:left="723" w:leftChars="0" w:hanging="723" w:hangingChars="300"/>
      </w:pPr>
      <w:bookmarkStart w:id="39" w:name="_Toc18298"/>
      <w:r>
        <w:rPr>
          <w:rFonts w:hint="eastAsia"/>
          <w:lang w:val="en-US" w:eastAsia="zh-CN"/>
        </w:rPr>
        <w:t>操作权限</w:t>
      </w:r>
      <w:bookmarkEnd w:id="3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申投诉的添加、修复、提交、撤回等操作；</w:t>
      </w:r>
    </w:p>
    <w:p>
      <w:pPr>
        <w:pStyle w:val="6"/>
        <w:bidi w:val="0"/>
        <w:ind w:left="723" w:leftChars="0" w:hanging="723" w:hangingChars="300"/>
      </w:pPr>
      <w:bookmarkStart w:id="40" w:name="_Toc19684"/>
      <w:r>
        <w:rPr>
          <w:rFonts w:hint="eastAsia"/>
          <w:lang w:val="en-US" w:eastAsia="zh-CN"/>
        </w:rPr>
        <w:t>操作流程</w:t>
      </w:r>
      <w:bookmarkEnd w:id="40"/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登录检验试剂招采管理子系统，点击【检验试剂招采&gt;日常申报&gt;申投诉管理&gt;企业申投诉】；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566545"/>
            <wp:effectExtent l="0" t="0" r="3810" b="825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</w:pPr>
      <w:r>
        <w:rPr>
          <w:rFonts w:hint="eastAsia"/>
          <w:lang w:val="en-US" w:eastAsia="zh-CN"/>
        </w:rPr>
        <w:t>点击【添加申投诉】进入新增页面，“申(投)诉分类”本企业选择“申诉”，其他企业选择“投诉”；“申(投)诉事项”选择对应投诉事项，其他信息正确填写，点击【保存】或【保存并提交】；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383790"/>
            <wp:effectExtent l="0" t="0" r="10160" b="381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</w:pPr>
      <w:r>
        <w:rPr>
          <w:rFonts w:hint="eastAsia"/>
          <w:lang w:val="en-US" w:eastAsia="zh-CN"/>
        </w:rPr>
        <w:t>“待提交”的数据可以修改；“待处理”的数据可以撤回；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1270635"/>
            <wp:effectExtent l="0" t="0" r="7620" b="12065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1" w:name="_Toc19685"/>
      <w:r>
        <w:rPr>
          <w:rFonts w:hint="eastAsia"/>
          <w:lang w:val="en-US" w:eastAsia="zh-CN"/>
        </w:rPr>
        <w:t>注意事项</w:t>
      </w:r>
      <w:bookmarkEnd w:id="41"/>
    </w:p>
    <w:p>
      <w:pPr>
        <w:ind w:firstLine="630" w:firstLineChars="300"/>
        <w:rPr>
          <w:color w:val="FF0000"/>
        </w:rPr>
      </w:pPr>
      <w:r>
        <w:rPr>
          <w:rFonts w:hint="eastAsia"/>
          <w:color w:val="FF0000"/>
          <w:lang w:val="en-US" w:eastAsia="zh-CN"/>
        </w:rPr>
        <w:t>已提交的申投诉，对应的产品不会进交易</w:t>
      </w:r>
      <w:r>
        <w:rPr>
          <w:rFonts w:hint="eastAsia"/>
          <w:color w:val="FF0000"/>
        </w:rPr>
        <w:t xml:space="preserve"> 。</w:t>
      </w:r>
    </w:p>
    <w:p>
      <w:pPr>
        <w:pStyle w:val="3"/>
        <w:tabs>
          <w:tab w:val="left" w:pos="420"/>
          <w:tab w:val="clear" w:pos="432"/>
        </w:tabs>
        <w:bidi w:val="0"/>
        <w:ind w:left="435" w:leftChars="-200" w:hanging="855" w:hangingChars="304"/>
      </w:pPr>
      <w:bookmarkStart w:id="42" w:name="_Toc3157"/>
      <w:r>
        <w:rPr>
          <w:rFonts w:hint="eastAsia"/>
          <w:lang w:val="en-US" w:eastAsia="zh-CN"/>
        </w:rPr>
        <w:t>医保局</w:t>
      </w:r>
      <w:bookmarkEnd w:id="42"/>
    </w:p>
    <w:p>
      <w:pPr>
        <w:pStyle w:val="5"/>
        <w:bidi w:val="0"/>
        <w:ind w:left="576" w:leftChars="0" w:hanging="576" w:hangingChars="239"/>
      </w:pPr>
      <w:bookmarkStart w:id="43" w:name="_Toc32534"/>
      <w:r>
        <w:rPr>
          <w:rFonts w:hint="eastAsia"/>
          <w:lang w:val="en-US" w:eastAsia="zh-CN"/>
        </w:rPr>
        <w:t>产品代理企业信息变更审核</w:t>
      </w:r>
      <w:bookmarkEnd w:id="43"/>
    </w:p>
    <w:p>
      <w:pPr>
        <w:pStyle w:val="6"/>
        <w:bidi w:val="0"/>
        <w:ind w:left="723" w:leftChars="0" w:hanging="723" w:hangingChars="300"/>
      </w:pPr>
      <w:bookmarkStart w:id="44" w:name="_Toc1361"/>
      <w:r>
        <w:rPr>
          <w:rFonts w:hint="eastAsia"/>
          <w:lang w:val="en-US" w:eastAsia="zh-CN"/>
        </w:rPr>
        <w:t>功能描述</w:t>
      </w:r>
      <w:bookmarkEnd w:id="4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产品代理企业信息变更，原代理企业拒绝或不处理，进入医保局审核；</w:t>
      </w:r>
    </w:p>
    <w:p>
      <w:pPr>
        <w:pStyle w:val="6"/>
        <w:bidi w:val="0"/>
        <w:ind w:left="723" w:leftChars="0" w:hanging="723" w:hangingChars="300"/>
      </w:pPr>
      <w:bookmarkStart w:id="45" w:name="_Toc16920"/>
      <w:r>
        <w:rPr>
          <w:rFonts w:hint="eastAsia"/>
          <w:lang w:val="en-US" w:eastAsia="zh-CN"/>
        </w:rPr>
        <w:t>操作权限</w:t>
      </w:r>
      <w:bookmarkEnd w:id="4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产品代理企业信息变更查询、处理、查看；</w:t>
      </w:r>
    </w:p>
    <w:p>
      <w:pPr>
        <w:pStyle w:val="6"/>
        <w:bidi w:val="0"/>
        <w:ind w:left="723" w:leftChars="0" w:hanging="723" w:hangingChars="300"/>
      </w:pPr>
      <w:bookmarkStart w:id="46" w:name="_Toc7313"/>
      <w:r>
        <w:rPr>
          <w:rFonts w:hint="eastAsia"/>
          <w:lang w:val="en-US" w:eastAsia="zh-CN"/>
        </w:rPr>
        <w:t>操作流程</w:t>
      </w:r>
      <w:bookmarkEnd w:id="46"/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登录检验试剂招采管理子系统，点击【检验试剂招采&gt;资质库管理&gt;产品代理企业信息变更(审核)】，选择对应数据；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2162175"/>
            <wp:effectExtent l="0" t="0" r="1905" b="952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点击【处理】进入处理页面,查看信息是否有误，点击【通过】，进入公示；点击【拒绝】，打回企业重新填报；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2400300"/>
            <wp:effectExtent l="0" t="0" r="0" b="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7" w:name="_Toc7467"/>
      <w:r>
        <w:rPr>
          <w:rFonts w:hint="eastAsia"/>
          <w:lang w:val="en-US" w:eastAsia="zh-CN"/>
        </w:rPr>
        <w:t>注意事项</w:t>
      </w:r>
      <w:bookmarkEnd w:id="47"/>
    </w:p>
    <w:p>
      <w:pPr>
        <w:ind w:firstLine="630" w:firstLineChars="300"/>
        <w:rPr>
          <w:rFonts w:hint="eastAsia" w:eastAsia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pStyle w:val="5"/>
        <w:bidi w:val="0"/>
        <w:ind w:left="576" w:leftChars="0" w:hanging="576" w:hangingChars="239"/>
      </w:pPr>
      <w:bookmarkStart w:id="48" w:name="_Toc25595"/>
      <w:r>
        <w:rPr>
          <w:rFonts w:hint="eastAsia"/>
          <w:lang w:val="en-US" w:eastAsia="zh-CN"/>
        </w:rPr>
        <w:t>产品代理企业信息变更公示</w:t>
      </w:r>
      <w:bookmarkEnd w:id="48"/>
    </w:p>
    <w:p>
      <w:pPr>
        <w:pStyle w:val="6"/>
        <w:bidi w:val="0"/>
        <w:ind w:left="723" w:leftChars="0" w:hanging="723" w:hangingChars="300"/>
      </w:pPr>
      <w:bookmarkStart w:id="49" w:name="_Toc2981"/>
      <w:r>
        <w:rPr>
          <w:rFonts w:hint="eastAsia"/>
          <w:lang w:val="en-US" w:eastAsia="zh-CN"/>
        </w:rPr>
        <w:t>功能描述</w:t>
      </w:r>
      <w:bookmarkEnd w:id="4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产品代理企业信息变更公示；</w:t>
      </w:r>
    </w:p>
    <w:p>
      <w:pPr>
        <w:pStyle w:val="6"/>
        <w:bidi w:val="0"/>
        <w:ind w:left="723" w:leftChars="0" w:hanging="723" w:hangingChars="300"/>
      </w:pPr>
      <w:bookmarkStart w:id="50" w:name="_Toc24200"/>
      <w:r>
        <w:rPr>
          <w:rFonts w:hint="eastAsia"/>
          <w:lang w:val="en-US" w:eastAsia="zh-CN"/>
        </w:rPr>
        <w:t>操作权限</w:t>
      </w:r>
      <w:bookmarkEnd w:id="5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公示数据查询、查看；</w:t>
      </w:r>
    </w:p>
    <w:p>
      <w:pPr>
        <w:pStyle w:val="6"/>
        <w:bidi w:val="0"/>
        <w:ind w:left="723" w:leftChars="0" w:hanging="723" w:hangingChars="300"/>
      </w:pPr>
      <w:bookmarkStart w:id="51" w:name="_Toc3495"/>
      <w:r>
        <w:rPr>
          <w:rFonts w:hint="eastAsia"/>
          <w:lang w:val="en-US" w:eastAsia="zh-CN"/>
        </w:rPr>
        <w:t>操作流程</w:t>
      </w:r>
      <w:bookmarkEnd w:id="51"/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登录检验试剂招采管理子系统，点击【检验试剂招采&gt;公示管理&gt;产品代理企业信息变更公示】；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2230120"/>
            <wp:effectExtent l="0" t="0" r="3810" b="508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3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2" w:name="_Toc14498"/>
      <w:r>
        <w:rPr>
          <w:rFonts w:hint="eastAsia"/>
          <w:lang w:val="en-US" w:eastAsia="zh-CN"/>
        </w:rPr>
        <w:t>注意事项</w:t>
      </w:r>
      <w:bookmarkEnd w:id="52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无。</w:t>
      </w:r>
    </w:p>
    <w:p>
      <w:pPr>
        <w:pStyle w:val="5"/>
        <w:bidi w:val="0"/>
        <w:ind w:left="576" w:leftChars="0" w:hanging="576" w:hangingChars="239"/>
      </w:pPr>
      <w:bookmarkStart w:id="53" w:name="_Toc16283"/>
      <w:r>
        <w:rPr>
          <w:rFonts w:hint="eastAsia"/>
          <w:lang w:val="en-US" w:eastAsia="zh-CN"/>
        </w:rPr>
        <w:t>申投诉处理</w:t>
      </w:r>
      <w:bookmarkEnd w:id="53"/>
    </w:p>
    <w:p>
      <w:pPr>
        <w:pStyle w:val="6"/>
        <w:bidi w:val="0"/>
        <w:ind w:left="723" w:leftChars="0" w:hanging="723" w:hangingChars="300"/>
      </w:pPr>
      <w:bookmarkStart w:id="54" w:name="_Toc16420"/>
      <w:r>
        <w:rPr>
          <w:rFonts w:hint="eastAsia"/>
          <w:lang w:val="en-US" w:eastAsia="zh-CN"/>
        </w:rPr>
        <w:t>功能描述</w:t>
      </w:r>
      <w:bookmarkEnd w:id="5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医保局：对提交后的申投诉处理；</w:t>
      </w:r>
    </w:p>
    <w:p>
      <w:pPr>
        <w:pStyle w:val="6"/>
        <w:bidi w:val="0"/>
        <w:ind w:left="723" w:leftChars="0" w:hanging="723" w:hangingChars="300"/>
      </w:pPr>
      <w:bookmarkStart w:id="55" w:name="_Toc13982"/>
      <w:r>
        <w:rPr>
          <w:rFonts w:hint="eastAsia"/>
          <w:lang w:val="en-US" w:eastAsia="zh-CN"/>
        </w:rPr>
        <w:t>操作权限</w:t>
      </w:r>
      <w:bookmarkEnd w:id="5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申投诉列表查询、处理、查看；</w:t>
      </w:r>
    </w:p>
    <w:p>
      <w:pPr>
        <w:pStyle w:val="6"/>
        <w:bidi w:val="0"/>
        <w:ind w:left="723" w:leftChars="0" w:hanging="723" w:hangingChars="300"/>
      </w:pPr>
      <w:bookmarkStart w:id="56" w:name="_Toc414"/>
      <w:r>
        <w:rPr>
          <w:rFonts w:hint="eastAsia"/>
          <w:lang w:val="en-US" w:eastAsia="zh-CN"/>
        </w:rPr>
        <w:t>操作流程</w:t>
      </w:r>
      <w:bookmarkEnd w:id="56"/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登录检验试剂招采管理子系统，点击【检验试剂招采&gt;日常申报&gt;申投诉管理&gt;申投诉处理】；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466975"/>
            <wp:effectExtent l="0" t="0" r="5715" b="9525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</w:pPr>
      <w:r>
        <w:rPr>
          <w:rFonts w:hint="eastAsia"/>
          <w:lang w:val="en-US" w:eastAsia="zh-CN"/>
        </w:rPr>
        <w:t>选择“待处理”的数据，点击【处理】进入处理页面；选择“受理”，点击【回复给企业】申投诉成功，信息打回重新填报；选择“不受理”点击【回复给企业】，申投诉不成功，公示3个工作日后进交易；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8595" cy="2679065"/>
            <wp:effectExtent l="0" t="0" r="1905" b="635"/>
            <wp:docPr id="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67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7" w:name="_Toc4418"/>
      <w:r>
        <w:rPr>
          <w:rFonts w:hint="eastAsia"/>
          <w:lang w:val="en-US" w:eastAsia="zh-CN"/>
        </w:rPr>
        <w:t>注意事项</w:t>
      </w:r>
      <w:bookmarkEnd w:id="57"/>
    </w:p>
    <w:p>
      <w:pPr>
        <w:ind w:firstLine="630" w:firstLineChars="300"/>
      </w:pPr>
      <w:r>
        <w:rPr>
          <w:rFonts w:hint="eastAsia"/>
        </w:rPr>
        <w:t>无 。</w:t>
      </w:r>
    </w:p>
    <w:sectPr>
      <w:footerReference r:id="rId11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宋体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41020" cy="1828800"/>
              <wp:effectExtent l="0" t="0" r="0" b="0"/>
              <wp:wrapNone/>
              <wp:docPr id="646" name="文本框 6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4102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2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42.6pt;mso-position-horizontal:center;mso-position-horizontal-relative:margin;z-index:251660288;mso-width-relative:page;mso-height-relative:page;" filled="f" stroked="f" coordsize="21600,21600" o:gfxdata="UEsDBAoAAAAAAIdO4kAAAAAAAAAAAAAAAAAEAAAAZHJzL1BLAwQUAAAACACHTuJARV3h+tMAAAAE&#10;AQAADwAAAGRycy9kb3ducmV2LnhtbE2PQU/DMAyF70j8h8hI3FiySqCqNN0BwQ5wokOIo9e6TaFx&#10;qibrBr8ewwUulp6e/d7ncnPyo1pojkNgC+uVAUXchHbg3sLL7uEqBxUTcotjYLLwSRE21flZiUUb&#10;jvxMS516JSEcC7TgUpoKrWPjyGNchYlYvC7MHpPIudftjEcJ96POjLnRHgeWBocT3TlqPuqDF4zX&#10;J+O3X51784/Yxdrtlu39u7WXF2tzCyrRKf0tww++3EAlTPtw4Daq0YI8kn6nePl1BmpvIctzA7oq&#10;9X/46htQSwMEFAAAAAgAh07iQC99wsczAgAAWgQAAA4AAABkcnMvZTJvRG9jLnhtbK1Uy27TQBTd&#10;I/EPo9kTO6GtoihOFVoFIUW0UkGsJ+NxbWlezExilw+AP2DFhj3fle/gzNhOUWHRBZvJ9X2fc+/N&#10;8rJTkhyE843RBZ1OckqE5qZs9H1BP37YvJpT4gPTJZNGi4I+CE8vVy9fLFu7EDNTG1kKR5BE+0Vr&#10;C1qHYBdZ5nktFPMTY4WGsTJOsYBPd5+VjrXIrmQ2y/OLrDWutM5w4T20172RDhndcxKaqmq4uDZ8&#10;r4QOfVYnJAuA5OvGerpK3VaV4OGmqrwIRBYUSEN6UQTyLr7ZaskW947ZuuFDC+w5LTzBpFijUfSU&#10;6poFRvau+SuVargz3lRhwo3KeiCJEaCY5k+4uauZFQkLqPb2RLr/f2n5+8OtI01Z0IuzC0o0Uxj5&#10;8fu3449fx59fSVSCotb6BTzvLHxD98Z0WJxR76GMyLvKqfgLTAR2EPxwIlh0gXAoz8+m+QwWDtN0&#10;PpvP8zSB7DHaOh/eCqNIFArqMMDEKztsfUAncB1dYjFtNo2UaYhSkxYoXp/nKeBkQYTUCIwY+l6j&#10;FLpdNwDbmfIBuJzpl8NbvmlQfMt8uGUO24CGcS/hBk8lDYqYQaKkNu7Lv/TRH0OClZIW21VQ/3nP&#10;nKBEvtMYH1KGUXCjsBsFvVdXBgs7xSVankQEuCBHsXJGfcIZrWMVmJjmqFXQMIpXod9xnCEX63Vy&#10;wsJZFrb6zvKYOtLn7XofQGFiNtLSczGwhZVLhA/nEXf6z+/k9fiXsPoN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RV3h+tMAAAAEAQAADwAAAAAAAAABACAAAAAiAAAAZHJzL2Rvd25yZXYueG1sUEsB&#10;AhQAFAAAAAgAh07iQC99wsczAgAAWgQAAA4AAAAAAAAAAQAgAAAAIgEAAGRycy9lMm9Eb2MueG1s&#10;UEsFBgAAAAAGAAYAWQEAAMc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2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41778363"/>
      <w:docPartObj>
        <w:docPartGallery w:val="autotext"/>
      </w:docPartObj>
    </w:sdtPr>
    <w:sdtEndPr>
      <w:rPr>
        <w:rFonts w:hint="default"/>
        <w:lang w:val="en-US"/>
      </w:rPr>
    </w:sdtEndPr>
    <w:sdtContent>
      <w:sdt>
        <w:sdtPr>
          <w:id w:val="1728636285"/>
          <w:docPartObj>
            <w:docPartGallery w:val="autotext"/>
          </w:docPartObj>
        </w:sdtPr>
        <w:sdtEndPr>
          <w:rPr>
            <w:rFonts w:hint="default"/>
            <w:lang w:val="en-US"/>
          </w:rPr>
        </w:sdtEndPr>
        <w:sdtContent>
          <w:p>
            <w:pPr>
              <w:pStyle w:val="22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 w:val="0"/>
                <w:bCs w:val="0"/>
                <w:sz w:val="24"/>
                <w:szCs w:val="24"/>
              </w:rPr>
              <w:fldChar w:fldCharType="begin"/>
            </w:r>
            <w:r>
              <w:rPr>
                <w:b w:val="0"/>
                <w:bCs w:val="0"/>
              </w:rPr>
              <w:instrText xml:space="preserve">PAGE</w:instrText>
            </w:r>
            <w:r>
              <w:rPr>
                <w:b w:val="0"/>
                <w:bCs w:val="0"/>
                <w:sz w:val="24"/>
                <w:szCs w:val="24"/>
              </w:rPr>
              <w:fldChar w:fldCharType="separate"/>
            </w:r>
            <w:r>
              <w:rPr>
                <w:b w:val="0"/>
                <w:bCs w:val="0"/>
                <w:lang w:val="zh-CN"/>
              </w:rPr>
              <w:t>2</w:t>
            </w:r>
            <w:r>
              <w:rPr>
                <w:b w:val="0"/>
                <w:bCs w:val="0"/>
                <w:sz w:val="24"/>
                <w:szCs w:val="24"/>
              </w:rPr>
              <w:fldChar w:fldCharType="end"/>
            </w:r>
            <w:r>
              <w:rPr>
                <w:b w:val="0"/>
                <w:bCs w:val="0"/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rFonts w:hint="eastAsia"/>
                <w:lang w:val="en-US" w:eastAsia="zh-CN"/>
              </w:rPr>
              <w:t>12</w:t>
            </w:r>
          </w:p>
        </w:sdtContent>
      </w:sdt>
    </w:sdtContent>
  </w:sdt>
  <w:p>
    <w:pPr>
      <w:pStyle w:val="2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BE1209"/>
    <w:multiLevelType w:val="multilevel"/>
    <w:tmpl w:val="9ABE1209"/>
    <w:lvl w:ilvl="0" w:tentative="0">
      <w:start w:val="1"/>
      <w:numFmt w:val="chineseCounting"/>
      <w:pStyle w:val="3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575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7"/>
      <w:isLgl/>
      <w:lvlText w:val="%1.%2.%3.%4.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9EF5F7EA"/>
    <w:multiLevelType w:val="singleLevel"/>
    <w:tmpl w:val="9EF5F7EA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2B73E88"/>
    <w:multiLevelType w:val="singleLevel"/>
    <w:tmpl w:val="A2B73E8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D3DAFD93"/>
    <w:multiLevelType w:val="singleLevel"/>
    <w:tmpl w:val="D3DAFD93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99E9574"/>
    <w:multiLevelType w:val="singleLevel"/>
    <w:tmpl w:val="D99E9574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E3A7BD1E"/>
    <w:multiLevelType w:val="singleLevel"/>
    <w:tmpl w:val="E3A7BD1E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E589FD12"/>
    <w:multiLevelType w:val="singleLevel"/>
    <w:tmpl w:val="E589FD12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01F82F49"/>
    <w:multiLevelType w:val="multilevel"/>
    <w:tmpl w:val="01F82F49"/>
    <w:lvl w:ilvl="0" w:tentative="0">
      <w:start w:val="1"/>
      <w:numFmt w:val="decimal"/>
      <w:pStyle w:val="51"/>
      <w:suff w:val="space"/>
      <w:lvlText w:val="图%1"/>
      <w:lvlJc w:val="left"/>
      <w:pPr>
        <w:ind w:left="420" w:hanging="420"/>
      </w:pPr>
      <w:rPr>
        <w:rFonts w:hint="default"/>
        <w:b w:val="0"/>
        <w:bCs w:val="0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8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6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9">
    <w:nsid w:val="4C5FFC37"/>
    <w:multiLevelType w:val="multilevel"/>
    <w:tmpl w:val="4C5FFC37"/>
    <w:lvl w:ilvl="0" w:tentative="0">
      <w:start w:val="1"/>
      <w:numFmt w:val="decimal"/>
      <w:pStyle w:val="48"/>
      <w:suff w:val="space"/>
      <w:lvlText w:val="第 %1 章"/>
      <w:lvlJc w:val="left"/>
      <w:pPr>
        <w:ind w:left="1134" w:hanging="1134"/>
      </w:pPr>
      <w:rPr>
        <w:rFonts w:hint="eastAsia" w:ascii="宋体" w:hAnsi="宋体" w:eastAsia="宋体"/>
      </w:rPr>
    </w:lvl>
    <w:lvl w:ilvl="1" w:tentative="0">
      <w:start w:val="1"/>
      <w:numFmt w:val="decimal"/>
      <w:pStyle w:val="49"/>
      <w:suff w:val="space"/>
      <w:lvlText w:val="%1.%2"/>
      <w:lvlJc w:val="left"/>
      <w:pPr>
        <w:ind w:left="1134" w:hanging="113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2" w:tentative="0">
      <w:start w:val="1"/>
      <w:numFmt w:val="decimal"/>
      <w:pStyle w:val="50"/>
      <w:suff w:val="space"/>
      <w:lvlText w:val="%1.%2.%3"/>
      <w:lvlJc w:val="left"/>
      <w:pPr>
        <w:ind w:left="1134" w:hanging="1134"/>
      </w:pPr>
      <w:rPr>
        <w:rFonts w:hint="eastAsia" w:ascii="宋体" w:hAnsi="宋体" w:eastAsia="宋体"/>
        <w:sz w:val="24"/>
        <w:szCs w:val="24"/>
      </w:rPr>
    </w:lvl>
    <w:lvl w:ilvl="3" w:tentative="0">
      <w:start w:val="1"/>
      <w:numFmt w:val="decimal"/>
      <w:pStyle w:val="44"/>
      <w:suff w:val="space"/>
      <w:lvlText w:val="%1.%2.%3.%4"/>
      <w:lvlJc w:val="left"/>
      <w:pPr>
        <w:ind w:left="1701" w:hanging="1134"/>
      </w:pPr>
      <w:rPr>
        <w:rFonts w:hint="default" w:ascii="宋体" w:hAnsi="宋体" w:eastAsia="宋体" w:cs="宋体"/>
        <w:b/>
        <w:bCs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Arial" w:hAnsi="Arial" w:cs="Arial"/>
        <w:b/>
        <w:bCs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10">
    <w:nsid w:val="4FBD70BE"/>
    <w:multiLevelType w:val="singleLevel"/>
    <w:tmpl w:val="4FBD70BE"/>
    <w:lvl w:ilvl="0" w:tentative="0">
      <w:start w:val="1"/>
      <w:numFmt w:val="decimal"/>
      <w:suff w:val="nothing"/>
      <w:lvlText w:val="%1、"/>
      <w:lvlJc w:val="left"/>
    </w:lvl>
  </w:abstractNum>
  <w:abstractNum w:abstractNumId="11">
    <w:nsid w:val="59F690E5"/>
    <w:multiLevelType w:val="singleLevel"/>
    <w:tmpl w:val="59F690E5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8"/>
  </w:num>
  <w:num w:numId="5">
    <w:abstractNumId w:val="11"/>
  </w:num>
  <w:num w:numId="6">
    <w:abstractNumId w:val="10"/>
  </w:num>
  <w:num w:numId="7">
    <w:abstractNumId w:val="6"/>
  </w:num>
  <w:num w:numId="8">
    <w:abstractNumId w:val="5"/>
  </w:num>
  <w:num w:numId="9">
    <w:abstractNumId w:val="1"/>
  </w:num>
  <w:num w:numId="10">
    <w:abstractNumId w:val="3"/>
  </w:num>
  <w:num w:numId="11">
    <w:abstractNumId w:val="2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19AA1FCF"/>
    <w:rsid w:val="000042DF"/>
    <w:rsid w:val="00010185"/>
    <w:rsid w:val="00021DF2"/>
    <w:rsid w:val="00021F56"/>
    <w:rsid w:val="000401EC"/>
    <w:rsid w:val="00066C79"/>
    <w:rsid w:val="000B093B"/>
    <w:rsid w:val="000F0788"/>
    <w:rsid w:val="00115E84"/>
    <w:rsid w:val="00163BBD"/>
    <w:rsid w:val="0019206F"/>
    <w:rsid w:val="001B20C8"/>
    <w:rsid w:val="001C19F1"/>
    <w:rsid w:val="001C7F04"/>
    <w:rsid w:val="00203CDA"/>
    <w:rsid w:val="00210A89"/>
    <w:rsid w:val="0021360D"/>
    <w:rsid w:val="00286D11"/>
    <w:rsid w:val="00287ED0"/>
    <w:rsid w:val="002E7FE1"/>
    <w:rsid w:val="002F1313"/>
    <w:rsid w:val="002F36D8"/>
    <w:rsid w:val="002F47CA"/>
    <w:rsid w:val="003306F0"/>
    <w:rsid w:val="00376E16"/>
    <w:rsid w:val="00380B34"/>
    <w:rsid w:val="0039361D"/>
    <w:rsid w:val="003B7603"/>
    <w:rsid w:val="003D4D77"/>
    <w:rsid w:val="003E0633"/>
    <w:rsid w:val="00400715"/>
    <w:rsid w:val="00422A89"/>
    <w:rsid w:val="00435F1D"/>
    <w:rsid w:val="00444DB5"/>
    <w:rsid w:val="004463E3"/>
    <w:rsid w:val="004678F4"/>
    <w:rsid w:val="00473564"/>
    <w:rsid w:val="0048582D"/>
    <w:rsid w:val="004A4750"/>
    <w:rsid w:val="004B2050"/>
    <w:rsid w:val="004B5EFC"/>
    <w:rsid w:val="004C1C40"/>
    <w:rsid w:val="004C1D0C"/>
    <w:rsid w:val="004C5A44"/>
    <w:rsid w:val="004D0FE5"/>
    <w:rsid w:val="004E4648"/>
    <w:rsid w:val="005142A3"/>
    <w:rsid w:val="00527905"/>
    <w:rsid w:val="005803E6"/>
    <w:rsid w:val="00584D58"/>
    <w:rsid w:val="00594057"/>
    <w:rsid w:val="005B2B61"/>
    <w:rsid w:val="005B5C6F"/>
    <w:rsid w:val="005E5B54"/>
    <w:rsid w:val="00615D86"/>
    <w:rsid w:val="00650488"/>
    <w:rsid w:val="006B4908"/>
    <w:rsid w:val="006E30A9"/>
    <w:rsid w:val="0070634C"/>
    <w:rsid w:val="00741488"/>
    <w:rsid w:val="00780AE4"/>
    <w:rsid w:val="007C144E"/>
    <w:rsid w:val="007E3932"/>
    <w:rsid w:val="007E4AEA"/>
    <w:rsid w:val="0080035D"/>
    <w:rsid w:val="008070EA"/>
    <w:rsid w:val="008319DD"/>
    <w:rsid w:val="008572AD"/>
    <w:rsid w:val="00864566"/>
    <w:rsid w:val="008700B9"/>
    <w:rsid w:val="0089074C"/>
    <w:rsid w:val="008A530C"/>
    <w:rsid w:val="00911354"/>
    <w:rsid w:val="0094393E"/>
    <w:rsid w:val="00944052"/>
    <w:rsid w:val="00944ECB"/>
    <w:rsid w:val="0095300A"/>
    <w:rsid w:val="009558F8"/>
    <w:rsid w:val="009C45D7"/>
    <w:rsid w:val="009E0E11"/>
    <w:rsid w:val="009E4743"/>
    <w:rsid w:val="009E4911"/>
    <w:rsid w:val="00A10E10"/>
    <w:rsid w:val="00A124EE"/>
    <w:rsid w:val="00A5068F"/>
    <w:rsid w:val="00A5172C"/>
    <w:rsid w:val="00A83CD9"/>
    <w:rsid w:val="00A85857"/>
    <w:rsid w:val="00A94B84"/>
    <w:rsid w:val="00A962EB"/>
    <w:rsid w:val="00B214B0"/>
    <w:rsid w:val="00B24674"/>
    <w:rsid w:val="00B32F90"/>
    <w:rsid w:val="00B4162F"/>
    <w:rsid w:val="00B75B8E"/>
    <w:rsid w:val="00B86BFD"/>
    <w:rsid w:val="00B92837"/>
    <w:rsid w:val="00BC6695"/>
    <w:rsid w:val="00CB11F5"/>
    <w:rsid w:val="00CD0B62"/>
    <w:rsid w:val="00D010F3"/>
    <w:rsid w:val="00D10F19"/>
    <w:rsid w:val="00D1211A"/>
    <w:rsid w:val="00D1597A"/>
    <w:rsid w:val="00D27BF7"/>
    <w:rsid w:val="00D34B5A"/>
    <w:rsid w:val="00D54B5D"/>
    <w:rsid w:val="00D60E5F"/>
    <w:rsid w:val="00D63634"/>
    <w:rsid w:val="00D766EB"/>
    <w:rsid w:val="00D80013"/>
    <w:rsid w:val="00D80BBA"/>
    <w:rsid w:val="00D83E2A"/>
    <w:rsid w:val="00DA00F0"/>
    <w:rsid w:val="00DB7D4B"/>
    <w:rsid w:val="00DC38EC"/>
    <w:rsid w:val="00DE31D1"/>
    <w:rsid w:val="00E04C3B"/>
    <w:rsid w:val="00E21834"/>
    <w:rsid w:val="00E31086"/>
    <w:rsid w:val="00E37ED1"/>
    <w:rsid w:val="00E76B9F"/>
    <w:rsid w:val="00E82D88"/>
    <w:rsid w:val="00E877BF"/>
    <w:rsid w:val="00E94010"/>
    <w:rsid w:val="00E96775"/>
    <w:rsid w:val="00EA5B11"/>
    <w:rsid w:val="00EB76DB"/>
    <w:rsid w:val="00EB794B"/>
    <w:rsid w:val="00EC75FB"/>
    <w:rsid w:val="00ED404D"/>
    <w:rsid w:val="00ED727D"/>
    <w:rsid w:val="00EE5B6B"/>
    <w:rsid w:val="00F11F5C"/>
    <w:rsid w:val="00F668C5"/>
    <w:rsid w:val="00F72F00"/>
    <w:rsid w:val="00FB3D13"/>
    <w:rsid w:val="00FC0958"/>
    <w:rsid w:val="00FC7F18"/>
    <w:rsid w:val="00FE7275"/>
    <w:rsid w:val="03E7461E"/>
    <w:rsid w:val="04811857"/>
    <w:rsid w:val="063D29BE"/>
    <w:rsid w:val="0716531F"/>
    <w:rsid w:val="07E36B92"/>
    <w:rsid w:val="081E3FB5"/>
    <w:rsid w:val="08621EEB"/>
    <w:rsid w:val="08BB3972"/>
    <w:rsid w:val="09142B7E"/>
    <w:rsid w:val="0BE11AED"/>
    <w:rsid w:val="0DD6048C"/>
    <w:rsid w:val="0EEF0065"/>
    <w:rsid w:val="0F851D9D"/>
    <w:rsid w:val="10AA23FA"/>
    <w:rsid w:val="13E45B08"/>
    <w:rsid w:val="15F81F61"/>
    <w:rsid w:val="178908F8"/>
    <w:rsid w:val="178E2D28"/>
    <w:rsid w:val="1800457D"/>
    <w:rsid w:val="18146875"/>
    <w:rsid w:val="18A3108A"/>
    <w:rsid w:val="19946B70"/>
    <w:rsid w:val="19AA1FCF"/>
    <w:rsid w:val="19F511C9"/>
    <w:rsid w:val="1A0A7B2D"/>
    <w:rsid w:val="1A513E11"/>
    <w:rsid w:val="1C27634D"/>
    <w:rsid w:val="1CA54A08"/>
    <w:rsid w:val="1CD34693"/>
    <w:rsid w:val="1CDD29CE"/>
    <w:rsid w:val="1D084610"/>
    <w:rsid w:val="1D862AB8"/>
    <w:rsid w:val="1E2C6CC0"/>
    <w:rsid w:val="1E911BEF"/>
    <w:rsid w:val="1EDD54B3"/>
    <w:rsid w:val="211B3E2F"/>
    <w:rsid w:val="21414DE3"/>
    <w:rsid w:val="22B91715"/>
    <w:rsid w:val="24B30C4E"/>
    <w:rsid w:val="25477969"/>
    <w:rsid w:val="265826EA"/>
    <w:rsid w:val="28297FB2"/>
    <w:rsid w:val="294A7767"/>
    <w:rsid w:val="2A996BF4"/>
    <w:rsid w:val="2AC7077B"/>
    <w:rsid w:val="2B0B1AA1"/>
    <w:rsid w:val="2B0C1E07"/>
    <w:rsid w:val="2B5C74C5"/>
    <w:rsid w:val="2BAA0794"/>
    <w:rsid w:val="2C494746"/>
    <w:rsid w:val="2C9805DF"/>
    <w:rsid w:val="2C9D2DF9"/>
    <w:rsid w:val="2D306690"/>
    <w:rsid w:val="2D680386"/>
    <w:rsid w:val="2D740DEB"/>
    <w:rsid w:val="2DE65886"/>
    <w:rsid w:val="2E686D00"/>
    <w:rsid w:val="2ED334A6"/>
    <w:rsid w:val="31174268"/>
    <w:rsid w:val="33A2288F"/>
    <w:rsid w:val="35181201"/>
    <w:rsid w:val="357247BE"/>
    <w:rsid w:val="388F60F7"/>
    <w:rsid w:val="38DB7B1C"/>
    <w:rsid w:val="38DD5B6F"/>
    <w:rsid w:val="392C149E"/>
    <w:rsid w:val="39475D32"/>
    <w:rsid w:val="397219F6"/>
    <w:rsid w:val="3A1243AC"/>
    <w:rsid w:val="3C715E15"/>
    <w:rsid w:val="3CE32DE2"/>
    <w:rsid w:val="3FE41D08"/>
    <w:rsid w:val="4129321A"/>
    <w:rsid w:val="41866EBB"/>
    <w:rsid w:val="429B2E20"/>
    <w:rsid w:val="42FB00A5"/>
    <w:rsid w:val="43B95653"/>
    <w:rsid w:val="451A0DD1"/>
    <w:rsid w:val="456E723F"/>
    <w:rsid w:val="46FB3692"/>
    <w:rsid w:val="47DF093C"/>
    <w:rsid w:val="494D4EF3"/>
    <w:rsid w:val="4AD131F0"/>
    <w:rsid w:val="4BFE740B"/>
    <w:rsid w:val="4E162E8C"/>
    <w:rsid w:val="4F960D2B"/>
    <w:rsid w:val="501769C5"/>
    <w:rsid w:val="5277426B"/>
    <w:rsid w:val="52E642F6"/>
    <w:rsid w:val="552C753D"/>
    <w:rsid w:val="578A3863"/>
    <w:rsid w:val="580A5F2D"/>
    <w:rsid w:val="58856823"/>
    <w:rsid w:val="59E56ED7"/>
    <w:rsid w:val="5AF007F6"/>
    <w:rsid w:val="5B597015"/>
    <w:rsid w:val="5B6D7904"/>
    <w:rsid w:val="5C132B0F"/>
    <w:rsid w:val="5CF23E04"/>
    <w:rsid w:val="5CF40552"/>
    <w:rsid w:val="5D275252"/>
    <w:rsid w:val="5DDF04F5"/>
    <w:rsid w:val="5E281158"/>
    <w:rsid w:val="5EAB3BD6"/>
    <w:rsid w:val="5F281A76"/>
    <w:rsid w:val="5F990B9C"/>
    <w:rsid w:val="5FF05552"/>
    <w:rsid w:val="603A778D"/>
    <w:rsid w:val="609F0300"/>
    <w:rsid w:val="60D108AB"/>
    <w:rsid w:val="641A4489"/>
    <w:rsid w:val="64721592"/>
    <w:rsid w:val="64D32A80"/>
    <w:rsid w:val="65FA31A3"/>
    <w:rsid w:val="661C2652"/>
    <w:rsid w:val="66CB2328"/>
    <w:rsid w:val="671351CF"/>
    <w:rsid w:val="68194D57"/>
    <w:rsid w:val="6AA2420C"/>
    <w:rsid w:val="6AAA5591"/>
    <w:rsid w:val="6AF72A1D"/>
    <w:rsid w:val="6BA36A55"/>
    <w:rsid w:val="6C3A104F"/>
    <w:rsid w:val="6EF603DE"/>
    <w:rsid w:val="70F96E79"/>
    <w:rsid w:val="71234C0D"/>
    <w:rsid w:val="7194588D"/>
    <w:rsid w:val="71C433F5"/>
    <w:rsid w:val="721E3341"/>
    <w:rsid w:val="723D6559"/>
    <w:rsid w:val="74AF2DDE"/>
    <w:rsid w:val="76320B78"/>
    <w:rsid w:val="77420431"/>
    <w:rsid w:val="781643FB"/>
    <w:rsid w:val="78AA3819"/>
    <w:rsid w:val="7A0D7082"/>
    <w:rsid w:val="7B8D0FE9"/>
    <w:rsid w:val="7C5E4D1B"/>
    <w:rsid w:val="7DEA4704"/>
    <w:rsid w:val="7F37494A"/>
    <w:rsid w:val="7FB16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60"/>
      <w:ind w:left="0" w:firstLine="0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576"/>
      </w:tabs>
      <w:spacing w:before="40" w:after="40"/>
      <w:ind w:firstLine="0" w:firstLineChars="0"/>
      <w:jc w:val="left"/>
      <w:outlineLvl w:val="1"/>
    </w:pPr>
    <w:rPr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578"/>
      </w:tabs>
      <w:ind w:firstLine="0"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ind w:firstLine="0"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55"/>
    <w:unhideWhenUsed/>
    <w:qFormat/>
    <w:uiPriority w:val="0"/>
    <w:pPr>
      <w:keepNext/>
      <w:keepLines/>
      <w:numPr>
        <w:ilvl w:val="4"/>
        <w:numId w:val="1"/>
      </w:numPr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link w:val="56"/>
    <w:unhideWhenUsed/>
    <w:qFormat/>
    <w:uiPriority w:val="0"/>
    <w:pPr>
      <w:keepNext/>
      <w:keepLines/>
      <w:numPr>
        <w:ilvl w:val="5"/>
        <w:numId w:val="1"/>
      </w:numPr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57"/>
    <w:unhideWhenUsed/>
    <w:qFormat/>
    <w:uiPriority w:val="0"/>
    <w:pPr>
      <w:keepNext/>
      <w:keepLines/>
      <w:widowControl/>
      <w:numPr>
        <w:ilvl w:val="6"/>
        <w:numId w:val="1"/>
      </w:numPr>
      <w:tabs>
        <w:tab w:val="left" w:pos="0"/>
        <w:tab w:val="left" w:pos="432"/>
      </w:tabs>
      <w:ind w:firstLine="0"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link w:val="58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ind w:firstLine="0" w:firstLineChars="0"/>
      <w:outlineLvl w:val="7"/>
    </w:pPr>
    <w:rPr>
      <w:b/>
      <w:szCs w:val="22"/>
    </w:rPr>
  </w:style>
  <w:style w:type="paragraph" w:styleId="12">
    <w:name w:val="heading 9"/>
    <w:basedOn w:val="1"/>
    <w:next w:val="1"/>
    <w:link w:val="59"/>
    <w:unhideWhenUsed/>
    <w:qFormat/>
    <w:uiPriority w:val="0"/>
    <w:pPr>
      <w:keepNext/>
      <w:keepLines/>
      <w:numPr>
        <w:ilvl w:val="8"/>
        <w:numId w:val="1"/>
      </w:numPr>
      <w:tabs>
        <w:tab w:val="left" w:pos="420"/>
      </w:tabs>
      <w:ind w:firstLine="0" w:firstLineChars="0"/>
      <w:outlineLvl w:val="8"/>
    </w:pPr>
    <w:rPr>
      <w:b/>
      <w:szCs w:val="22"/>
    </w:rPr>
  </w:style>
  <w:style w:type="character" w:default="1" w:styleId="34">
    <w:name w:val="Default Paragraph Font"/>
    <w:semiHidden/>
    <w:unhideWhenUsed/>
    <w:qFormat/>
    <w:uiPriority w:val="1"/>
  </w:style>
  <w:style w:type="table" w:default="1" w:styleId="3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69"/>
    <w:unhideWhenUsed/>
    <w:qFormat/>
    <w:uiPriority w:val="0"/>
    <w:pPr>
      <w:spacing w:after="120"/>
    </w:pPr>
  </w:style>
  <w:style w:type="paragraph" w:styleId="4">
    <w:name w:val="Title"/>
    <w:basedOn w:val="1"/>
    <w:link w:val="54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77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link w:val="76"/>
    <w:unhideWhenUsed/>
    <w:qFormat/>
    <w:uiPriority w:val="0"/>
    <w:pPr>
      <w:jc w:val="left"/>
    </w:pPr>
  </w:style>
  <w:style w:type="paragraph" w:styleId="16">
    <w:name w:val="Body Text Indent"/>
    <w:basedOn w:val="1"/>
    <w:link w:val="71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72"/>
    <w:qFormat/>
    <w:uiPriority w:val="0"/>
    <w:rPr>
      <w:rFonts w:hAnsi="Courier New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Balloon Text"/>
    <w:basedOn w:val="1"/>
    <w:link w:val="64"/>
    <w:qFormat/>
    <w:uiPriority w:val="0"/>
    <w:pPr>
      <w:spacing w:line="240" w:lineRule="auto"/>
    </w:pPr>
    <w:rPr>
      <w:sz w:val="18"/>
      <w:szCs w:val="18"/>
    </w:rPr>
  </w:style>
  <w:style w:type="paragraph" w:styleId="22">
    <w:name w:val="footer"/>
    <w:basedOn w:val="1"/>
    <w:next w:val="18"/>
    <w:link w:val="6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3">
    <w:name w:val="header"/>
    <w:basedOn w:val="1"/>
    <w:link w:val="68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4">
    <w:name w:val="toc 1"/>
    <w:basedOn w:val="1"/>
    <w:next w:val="1"/>
    <w:link w:val="53"/>
    <w:qFormat/>
    <w:uiPriority w:val="39"/>
    <w:pPr>
      <w:tabs>
        <w:tab w:val="right" w:leader="dot" w:pos="8788"/>
      </w:tabs>
      <w:ind w:firstLine="0" w:firstLineChars="0"/>
    </w:pPr>
  </w:style>
  <w:style w:type="paragraph" w:styleId="25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6">
    <w:name w:val="footnote text"/>
    <w:basedOn w:val="1"/>
    <w:link w:val="63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7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8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9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30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1">
    <w:name w:val="Body Text First Indent"/>
    <w:basedOn w:val="2"/>
    <w:link w:val="70"/>
    <w:qFormat/>
    <w:uiPriority w:val="0"/>
    <w:pPr>
      <w:ind w:firstLine="420"/>
    </w:pPr>
    <w:rPr>
      <w:sz w:val="24"/>
    </w:rPr>
  </w:style>
  <w:style w:type="table" w:styleId="33">
    <w:name w:val="Table Grid"/>
    <w:basedOn w:val="3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5">
    <w:name w:val="Hyperlink"/>
    <w:basedOn w:val="34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4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40">
    <w:name w:val="标题 4 字符"/>
    <w:basedOn w:val="34"/>
    <w:link w:val="7"/>
    <w:qFormat/>
    <w:uiPriority w:val="0"/>
    <w:rPr>
      <w:rFonts w:ascii="Arial" w:hAnsi="Arial"/>
      <w:b/>
      <w:sz w:val="21"/>
      <w:szCs w:val="22"/>
    </w:rPr>
  </w:style>
  <w:style w:type="paragraph" w:customStyle="1" w:styleId="41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2">
    <w:name w:val="文内正文"/>
    <w:basedOn w:val="43"/>
    <w:link w:val="46"/>
    <w:qFormat/>
    <w:uiPriority w:val="0"/>
    <w:pPr>
      <w:widowControl/>
      <w:ind w:firstLine="200"/>
      <w:jc w:val="left"/>
    </w:pPr>
    <w:rPr>
      <w:rFonts w:cs="宋体"/>
      <w:szCs w:val="24"/>
    </w:rPr>
  </w:style>
  <w:style w:type="paragraph" w:styleId="43">
    <w:name w:val="List Paragraph"/>
    <w:basedOn w:val="1"/>
    <w:link w:val="47"/>
    <w:qFormat/>
    <w:uiPriority w:val="34"/>
    <w:pPr>
      <w:ind w:firstLine="420"/>
    </w:pPr>
  </w:style>
  <w:style w:type="paragraph" w:customStyle="1" w:styleId="44">
    <w:name w:val="文内标题四"/>
    <w:basedOn w:val="45"/>
    <w:link w:val="52"/>
    <w:qFormat/>
    <w:uiPriority w:val="0"/>
    <w:pPr>
      <w:keepNext w:val="0"/>
      <w:keepLines w:val="0"/>
      <w:numPr>
        <w:ilvl w:val="3"/>
        <w:numId w:val="2"/>
      </w:numPr>
      <w:tabs>
        <w:tab w:val="left" w:pos="727"/>
        <w:tab w:val="left" w:pos="864"/>
      </w:tabs>
      <w:ind w:left="1134"/>
    </w:pPr>
    <w:rPr>
      <w:sz w:val="21"/>
      <w:szCs w:val="21"/>
    </w:rPr>
  </w:style>
  <w:style w:type="paragraph" w:customStyle="1" w:styleId="45">
    <w:name w:val="Section4"/>
    <w:basedOn w:val="7"/>
    <w:qFormat/>
    <w:uiPriority w:val="0"/>
    <w:pPr>
      <w:numPr>
        <w:ilvl w:val="0"/>
        <w:numId w:val="0"/>
      </w:numPr>
    </w:pPr>
    <w:rPr>
      <w:rFonts w:ascii="Times New Roman" w:hAnsi="Times New Roman"/>
      <w:bCs/>
      <w:sz w:val="30"/>
    </w:rPr>
  </w:style>
  <w:style w:type="character" w:customStyle="1" w:styleId="46">
    <w:name w:val="文内正文 字符"/>
    <w:basedOn w:val="34"/>
    <w:link w:val="42"/>
    <w:qFormat/>
    <w:uiPriority w:val="0"/>
    <w:rPr>
      <w:rFonts w:ascii="宋体" w:hAnsi="宋体" w:cs="宋体"/>
      <w:sz w:val="21"/>
      <w:szCs w:val="24"/>
    </w:rPr>
  </w:style>
  <w:style w:type="character" w:customStyle="1" w:styleId="47">
    <w:name w:val="列表段落 字符"/>
    <w:link w:val="43"/>
    <w:qFormat/>
    <w:uiPriority w:val="34"/>
    <w:rPr>
      <w:rFonts w:ascii="宋体" w:hAnsi="宋体"/>
      <w:sz w:val="21"/>
      <w:szCs w:val="21"/>
    </w:rPr>
  </w:style>
  <w:style w:type="paragraph" w:customStyle="1" w:styleId="48">
    <w:name w:val="文内标题一"/>
    <w:basedOn w:val="3"/>
    <w:qFormat/>
    <w:uiPriority w:val="0"/>
    <w:pPr>
      <w:keepNext w:val="0"/>
      <w:keepLines w:val="0"/>
      <w:numPr>
        <w:numId w:val="2"/>
      </w:numPr>
    </w:pPr>
    <w:rPr>
      <w:rFonts w:cstheme="minorBidi"/>
    </w:rPr>
  </w:style>
  <w:style w:type="paragraph" w:customStyle="1" w:styleId="49">
    <w:name w:val="文内标题二"/>
    <w:basedOn w:val="5"/>
    <w:qFormat/>
    <w:uiPriority w:val="0"/>
    <w:pPr>
      <w:numPr>
        <w:numId w:val="2"/>
      </w:numPr>
    </w:pPr>
    <w:rPr>
      <w:rFonts w:ascii="Times New Roman" w:hAnsi="Times New Roman" w:cstheme="majorBidi"/>
    </w:rPr>
  </w:style>
  <w:style w:type="paragraph" w:customStyle="1" w:styleId="50">
    <w:name w:val="文内标题三"/>
    <w:basedOn w:val="6"/>
    <w:link w:val="82"/>
    <w:qFormat/>
    <w:uiPriority w:val="0"/>
    <w:pPr>
      <w:numPr>
        <w:numId w:val="2"/>
      </w:numPr>
      <w:tabs>
        <w:tab w:val="left" w:pos="720"/>
      </w:tabs>
      <w:ind w:left="0" w:firstLine="0"/>
    </w:pPr>
    <w:rPr>
      <w:rFonts w:asciiTheme="minorHAnsi" w:hAnsiTheme="minorHAnsi"/>
      <w:sz w:val="21"/>
      <w:szCs w:val="24"/>
    </w:rPr>
  </w:style>
  <w:style w:type="paragraph" w:customStyle="1" w:styleId="51">
    <w:name w:val="图片下标"/>
    <w:basedOn w:val="14"/>
    <w:link w:val="79"/>
    <w:qFormat/>
    <w:uiPriority w:val="0"/>
    <w:pPr>
      <w:numPr>
        <w:ilvl w:val="0"/>
        <w:numId w:val="3"/>
      </w:numPr>
    </w:pPr>
    <w:rPr>
      <w:szCs w:val="18"/>
    </w:rPr>
  </w:style>
  <w:style w:type="character" w:customStyle="1" w:styleId="52">
    <w:name w:val="文内标题四 Char"/>
    <w:link w:val="44"/>
    <w:qFormat/>
    <w:uiPriority w:val="0"/>
    <w:rPr>
      <w:b/>
      <w:bCs/>
      <w:sz w:val="21"/>
      <w:szCs w:val="21"/>
    </w:rPr>
  </w:style>
  <w:style w:type="character" w:customStyle="1" w:styleId="53">
    <w:name w:val="TOC 1 字符"/>
    <w:link w:val="24"/>
    <w:qFormat/>
    <w:uiPriority w:val="0"/>
    <w:rPr>
      <w:rFonts w:ascii="宋体" w:hAnsi="宋体"/>
      <w:sz w:val="21"/>
      <w:szCs w:val="21"/>
    </w:rPr>
  </w:style>
  <w:style w:type="character" w:customStyle="1" w:styleId="54">
    <w:name w:val="标题 字符"/>
    <w:basedOn w:val="34"/>
    <w:link w:val="4"/>
    <w:qFormat/>
    <w:uiPriority w:val="0"/>
    <w:rPr>
      <w:rFonts w:ascii="Arial" w:hAnsi="Arial"/>
      <w:b/>
      <w:sz w:val="32"/>
      <w:szCs w:val="21"/>
    </w:rPr>
  </w:style>
  <w:style w:type="character" w:customStyle="1" w:styleId="55">
    <w:name w:val="标题 5 字符"/>
    <w:basedOn w:val="34"/>
    <w:link w:val="8"/>
    <w:qFormat/>
    <w:uiPriority w:val="0"/>
    <w:rPr>
      <w:rFonts w:ascii="宋体" w:hAnsi="宋体"/>
      <w:b/>
      <w:sz w:val="21"/>
      <w:szCs w:val="22"/>
    </w:rPr>
  </w:style>
  <w:style w:type="character" w:customStyle="1" w:styleId="56">
    <w:name w:val="标题 6 字符"/>
    <w:basedOn w:val="34"/>
    <w:link w:val="9"/>
    <w:qFormat/>
    <w:uiPriority w:val="0"/>
    <w:rPr>
      <w:rFonts w:ascii="宋体" w:hAnsi="宋体"/>
      <w:b/>
      <w:sz w:val="21"/>
      <w:szCs w:val="22"/>
    </w:rPr>
  </w:style>
  <w:style w:type="character" w:customStyle="1" w:styleId="57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58">
    <w:name w:val="标题 8 字符"/>
    <w:basedOn w:val="34"/>
    <w:link w:val="11"/>
    <w:qFormat/>
    <w:uiPriority w:val="0"/>
    <w:rPr>
      <w:rFonts w:ascii="宋体" w:hAnsi="宋体"/>
      <w:b/>
      <w:sz w:val="21"/>
      <w:szCs w:val="22"/>
    </w:rPr>
  </w:style>
  <w:style w:type="character" w:customStyle="1" w:styleId="59">
    <w:name w:val="标题 9 字符"/>
    <w:basedOn w:val="34"/>
    <w:link w:val="12"/>
    <w:qFormat/>
    <w:uiPriority w:val="0"/>
    <w:rPr>
      <w:rFonts w:ascii="宋体" w:hAnsi="宋体"/>
      <w:b/>
      <w:sz w:val="21"/>
      <w:szCs w:val="22"/>
    </w:rPr>
  </w:style>
  <w:style w:type="paragraph" w:customStyle="1" w:styleId="60">
    <w:name w:val="表格体"/>
    <w:basedOn w:val="1"/>
    <w:link w:val="61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61">
    <w:name w:val="表格体 字符"/>
    <w:link w:val="60"/>
    <w:qFormat/>
    <w:uiPriority w:val="0"/>
    <w:rPr>
      <w:rFonts w:ascii="宋体" w:hAnsi="宋体"/>
      <w:color w:val="000000"/>
      <w:sz w:val="18"/>
      <w:szCs w:val="18"/>
    </w:rPr>
  </w:style>
  <w:style w:type="paragraph" w:customStyle="1" w:styleId="62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character" w:customStyle="1" w:styleId="63">
    <w:name w:val="脚注文本 字符"/>
    <w:basedOn w:val="34"/>
    <w:link w:val="26"/>
    <w:qFormat/>
    <w:uiPriority w:val="0"/>
    <w:rPr>
      <w:rFonts w:ascii="宋体" w:hAnsi="宋体" w:cs="宋体"/>
      <w:sz w:val="18"/>
      <w:szCs w:val="18"/>
    </w:rPr>
  </w:style>
  <w:style w:type="character" w:customStyle="1" w:styleId="64">
    <w:name w:val="批注框文本 字符"/>
    <w:basedOn w:val="34"/>
    <w:link w:val="21"/>
    <w:qFormat/>
    <w:uiPriority w:val="0"/>
    <w:rPr>
      <w:rFonts w:ascii="宋体" w:hAnsi="宋体"/>
      <w:sz w:val="18"/>
      <w:szCs w:val="18"/>
    </w:rPr>
  </w:style>
  <w:style w:type="paragraph" w:customStyle="1" w:styleId="6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6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character" w:customStyle="1" w:styleId="67">
    <w:name w:val="页脚 字符"/>
    <w:basedOn w:val="34"/>
    <w:link w:val="22"/>
    <w:qFormat/>
    <w:uiPriority w:val="99"/>
    <w:rPr>
      <w:rFonts w:ascii="宋体" w:hAnsi="宋体"/>
      <w:sz w:val="18"/>
      <w:szCs w:val="21"/>
    </w:rPr>
  </w:style>
  <w:style w:type="character" w:customStyle="1" w:styleId="68">
    <w:name w:val="页眉 字符"/>
    <w:basedOn w:val="34"/>
    <w:link w:val="23"/>
    <w:qFormat/>
    <w:uiPriority w:val="0"/>
    <w:rPr>
      <w:rFonts w:ascii="宋体" w:hAnsi="宋体"/>
      <w:sz w:val="18"/>
      <w:szCs w:val="21"/>
    </w:rPr>
  </w:style>
  <w:style w:type="character" w:customStyle="1" w:styleId="69">
    <w:name w:val="正文文本 字符"/>
    <w:basedOn w:val="34"/>
    <w:link w:val="2"/>
    <w:qFormat/>
    <w:uiPriority w:val="0"/>
    <w:rPr>
      <w:rFonts w:ascii="宋体" w:hAnsi="宋体"/>
      <w:sz w:val="21"/>
      <w:szCs w:val="21"/>
    </w:rPr>
  </w:style>
  <w:style w:type="character" w:customStyle="1" w:styleId="70">
    <w:name w:val="正文文本首行缩进 字符"/>
    <w:basedOn w:val="69"/>
    <w:link w:val="31"/>
    <w:qFormat/>
    <w:uiPriority w:val="0"/>
    <w:rPr>
      <w:rFonts w:ascii="宋体" w:hAnsi="宋体"/>
      <w:sz w:val="24"/>
      <w:szCs w:val="21"/>
    </w:rPr>
  </w:style>
  <w:style w:type="character" w:customStyle="1" w:styleId="71">
    <w:name w:val="正文文本缩进 字符"/>
    <w:basedOn w:val="34"/>
    <w:link w:val="16"/>
    <w:qFormat/>
    <w:uiPriority w:val="0"/>
    <w:rPr>
      <w:rFonts w:ascii="宋体" w:hAnsi="宋体"/>
      <w:sz w:val="21"/>
      <w:szCs w:val="21"/>
    </w:rPr>
  </w:style>
  <w:style w:type="character" w:customStyle="1" w:styleId="72">
    <w:name w:val="纯文本 字符"/>
    <w:basedOn w:val="34"/>
    <w:link w:val="19"/>
    <w:qFormat/>
    <w:uiPriority w:val="0"/>
    <w:rPr>
      <w:rFonts w:ascii="宋体" w:hAnsi="Courier New"/>
      <w:sz w:val="21"/>
    </w:rPr>
  </w:style>
  <w:style w:type="paragraph" w:customStyle="1" w:styleId="73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paragraph" w:customStyle="1" w:styleId="74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5">
    <w:name w:val="Unresolved Mention"/>
    <w:basedOn w:val="34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批注文字 字符"/>
    <w:basedOn w:val="34"/>
    <w:link w:val="15"/>
    <w:qFormat/>
    <w:uiPriority w:val="0"/>
    <w:rPr>
      <w:rFonts w:ascii="宋体" w:hAnsi="宋体"/>
      <w:sz w:val="21"/>
      <w:szCs w:val="21"/>
    </w:rPr>
  </w:style>
  <w:style w:type="character" w:customStyle="1" w:styleId="77">
    <w:name w:val="题注 字符"/>
    <w:link w:val="14"/>
    <w:qFormat/>
    <w:uiPriority w:val="35"/>
    <w:rPr>
      <w:rFonts w:ascii="宋体" w:hAnsi="宋体"/>
      <w:sz w:val="18"/>
      <w:szCs w:val="22"/>
    </w:rPr>
  </w:style>
  <w:style w:type="paragraph" w:customStyle="1" w:styleId="78">
    <w:name w:val="列表段落1"/>
    <w:basedOn w:val="1"/>
    <w:qFormat/>
    <w:uiPriority w:val="34"/>
    <w:pPr>
      <w:ind w:firstLine="420"/>
    </w:pPr>
  </w:style>
  <w:style w:type="character" w:customStyle="1" w:styleId="79">
    <w:name w:val="图片下标 字符"/>
    <w:basedOn w:val="77"/>
    <w:link w:val="51"/>
    <w:qFormat/>
    <w:uiPriority w:val="0"/>
    <w:rPr>
      <w:rFonts w:ascii="宋体" w:hAnsi="宋体"/>
      <w:sz w:val="18"/>
      <w:szCs w:val="18"/>
    </w:rPr>
  </w:style>
  <w:style w:type="paragraph" w:customStyle="1" w:styleId="80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81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character" w:customStyle="1" w:styleId="82">
    <w:name w:val="文内标题三 字符"/>
    <w:basedOn w:val="38"/>
    <w:link w:val="50"/>
    <w:qFormat/>
    <w:uiPriority w:val="0"/>
    <w:rPr>
      <w:rFonts w:cs="宋体" w:asciiTheme="minorHAnsi" w:hAnsiTheme="minorHAnsi"/>
      <w:sz w:val="21"/>
      <w:szCs w:val="24"/>
    </w:rPr>
  </w:style>
  <w:style w:type="character" w:customStyle="1" w:styleId="83">
    <w:name w:val="未处理的提及1"/>
    <w:basedOn w:val="34"/>
    <w:unhideWhenUsed/>
    <w:qFormat/>
    <w:uiPriority w:val="99"/>
    <w:rPr>
      <w:color w:val="605E5C"/>
      <w:shd w:val="clear" w:color="auto" w:fill="E1DFDD"/>
    </w:rPr>
  </w:style>
  <w:style w:type="character" w:customStyle="1" w:styleId="84">
    <w:name w:val="未处理的提及2"/>
    <w:basedOn w:val="34"/>
    <w:unhideWhenUsed/>
    <w:qFormat/>
    <w:uiPriority w:val="99"/>
    <w:rPr>
      <w:color w:val="605E5C"/>
      <w:shd w:val="clear" w:color="auto" w:fill="E1DFDD"/>
    </w:rPr>
  </w:style>
  <w:style w:type="paragraph" w:customStyle="1" w:styleId="85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1890</Words>
  <Characters>2090</Characters>
  <Lines>827</Lines>
  <Paragraphs>233</Paragraphs>
  <TotalTime>0</TotalTime>
  <ScaleCrop>false</ScaleCrop>
  <LinksUpToDate>false</LinksUpToDate>
  <CharactersWithSpaces>2256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2022-01-27T05:56:00Z</dcterms:created>
  <dc:creator>admin</dc:creator>
  <cp:lastModifiedBy>chase</cp:lastModifiedBy>
  <dcterms:modified xsi:type="dcterms:W3CDTF">2024-06-26T01:27:52Z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DCD36B845A5643EAA2EE94D54F443F2E</vt:lpwstr>
  </property>
</Properties>
</file>