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624" w:afterLines="200" w:line="480" w:lineRule="auto"/>
        <w:ind w:firstLine="0" w:firstLineChars="0"/>
        <w:rPr>
          <w:rFonts w:hint="eastAsia" w:ascii="宋体" w:hAnsi="宋体" w:eastAsia="宋体" w:cs="宋体"/>
          <w:b/>
          <w:color w:val="FF0000"/>
          <w:sz w:val="44"/>
          <w:szCs w:val="44"/>
        </w:rPr>
      </w:pPr>
      <w:bookmarkStart w:id="0" w:name="_Hlk10968745"/>
      <w:bookmarkEnd w:id="0"/>
      <w:r>
        <w:rPr>
          <w:rFonts w:hint="eastAsia" w:ascii="宋体" w:hAnsi="宋体" w:eastAsia="宋体" w:cs="宋体"/>
          <w:b/>
          <w:color w:val="FF0000"/>
          <w:sz w:val="44"/>
          <w:szCs w:val="44"/>
        </w:rPr>
        <w:t xml:space="preserve">  </w:t>
      </w:r>
    </w:p>
    <w:p>
      <w:pPr>
        <w:spacing w:after="624" w:afterLines="200" w:line="480" w:lineRule="auto"/>
        <w:ind w:firstLine="0" w:firstLineChars="0"/>
        <w:jc w:val="center"/>
        <w:rPr>
          <w:rFonts w:hint="default" w:ascii="宋体" w:hAnsi="宋体" w:eastAsia="宋体" w:cs="宋体"/>
          <w:b/>
          <w:sz w:val="52"/>
          <w:szCs w:val="52"/>
          <w:lang w:val="en-US"/>
        </w:rPr>
      </w:pPr>
      <w:r>
        <w:rPr>
          <w:rFonts w:hint="eastAsia" w:cs="宋体"/>
          <w:b/>
          <w:sz w:val="56"/>
          <w:szCs w:val="24"/>
          <w:lang w:val="en-US" w:eastAsia="zh-CN"/>
        </w:rPr>
        <w:t>中药配方颗粒/饮片</w:t>
      </w:r>
    </w:p>
    <w:p>
      <w:pPr>
        <w:spacing w:after="624" w:afterLines="200" w:line="480" w:lineRule="auto"/>
        <w:ind w:firstLine="0" w:firstLineChars="0"/>
        <w:jc w:val="center"/>
        <w:rPr>
          <w:rFonts w:hint="eastAsia" w:ascii="宋体" w:hAnsi="宋体" w:eastAsia="宋体" w:cs="宋体"/>
          <w:b/>
          <w:sz w:val="48"/>
        </w:rPr>
      </w:pPr>
      <w:r>
        <w:rPr>
          <w:rFonts w:hint="eastAsia" w:ascii="宋体" w:hAnsi="宋体" w:eastAsia="宋体" w:cs="宋体"/>
          <w:b/>
          <w:sz w:val="48"/>
        </w:rPr>
        <w:t>用户使用手册</w:t>
      </w:r>
    </w:p>
    <w:p>
      <w:pPr>
        <w:spacing w:after="624" w:afterLines="200"/>
        <w:ind w:firstLine="0" w:firstLineChars="0"/>
        <w:jc w:val="center"/>
        <w:rPr>
          <w:rFonts w:hint="eastAsia" w:ascii="宋体" w:hAnsi="宋体" w:eastAsia="宋体" w:cs="宋体"/>
          <w:b/>
          <w:sz w:val="32"/>
          <w:szCs w:val="16"/>
        </w:rPr>
      </w:pPr>
      <w:r>
        <w:rPr>
          <w:rFonts w:hint="eastAsia" w:ascii="宋体" w:hAnsi="宋体" w:eastAsia="宋体" w:cs="宋体"/>
          <w:b/>
          <w:sz w:val="32"/>
          <w:szCs w:val="16"/>
        </w:rPr>
        <w:t>（V1.0）</w:t>
      </w: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202</w:t>
      </w:r>
      <w:r>
        <w:rPr>
          <w:rFonts w:hint="eastAsia" w:cs="宋体"/>
          <w:sz w:val="32"/>
          <w:szCs w:val="32"/>
          <w:lang w:val="en-US" w:eastAsia="zh-CN"/>
        </w:rPr>
        <w:t>4</w:t>
      </w:r>
      <w:r>
        <w:rPr>
          <w:rFonts w:hint="eastAsia" w:ascii="宋体" w:hAnsi="宋体" w:eastAsia="宋体" w:cs="宋体"/>
          <w:sz w:val="32"/>
          <w:szCs w:val="32"/>
        </w:rPr>
        <w:t>年</w:t>
      </w:r>
      <w:r>
        <w:rPr>
          <w:rFonts w:hint="eastAsia" w:cs="宋体"/>
          <w:sz w:val="32"/>
          <w:szCs w:val="32"/>
          <w:lang w:val="en-US" w:eastAsia="zh-CN"/>
        </w:rPr>
        <w:t>4</w:t>
      </w:r>
      <w:r>
        <w:rPr>
          <w:rFonts w:hint="eastAsia" w:ascii="宋体" w:hAnsi="宋体" w:eastAsia="宋体" w:cs="宋体"/>
          <w:sz w:val="32"/>
          <w:szCs w:val="32"/>
        </w:rPr>
        <w:t>月</w:t>
      </w: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b/>
          <w:bCs/>
          <w:sz w:val="30"/>
          <w:szCs w:val="30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17" w:right="1701" w:bottom="1417" w:left="1701" w:header="851" w:footer="992" w:gutter="0"/>
          <w:pgNumType w:fmt="upperRoman" w:start="1"/>
          <w:cols w:space="0" w:num="1"/>
          <w:docGrid w:type="lines" w:linePitch="312" w:charSpace="0"/>
        </w:sectPr>
      </w:pPr>
    </w:p>
    <w:p>
      <w:pPr>
        <w:ind w:firstLine="0" w:firstLineChars="0"/>
        <w:jc w:val="center"/>
        <w:rPr>
          <w:rFonts w:hint="eastAsia" w:ascii="宋体" w:hAnsi="宋体" w:eastAsia="宋体" w:cs="宋体"/>
          <w:b/>
          <w:bCs/>
          <w:sz w:val="30"/>
          <w:szCs w:val="30"/>
          <w:lang w:val="zh-CN"/>
        </w:rPr>
      </w:pPr>
    </w:p>
    <w:p>
      <w:pPr>
        <w:ind w:firstLine="0" w:firstLineChars="0"/>
        <w:jc w:val="center"/>
        <w:rPr>
          <w:rFonts w:hint="eastAsia" w:ascii="宋体" w:hAnsi="宋体" w:eastAsia="宋体" w:cs="宋体"/>
          <w:b/>
          <w:bCs/>
          <w:sz w:val="30"/>
          <w:szCs w:val="30"/>
          <w:lang w:val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zh-CN"/>
        </w:rPr>
        <w:t>目录</w:t>
      </w:r>
    </w:p>
    <w:p>
      <w:pPr>
        <w:pStyle w:val="2"/>
        <w:rPr>
          <w:rFonts w:hint="eastAsia"/>
        </w:rPr>
      </w:pPr>
      <w:bookmarkStart w:id="15" w:name="_GoBack"/>
      <w:bookmarkEnd w:id="15"/>
    </w:p>
    <w:p>
      <w:pPr>
        <w:pStyle w:val="23"/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TOC \o "1-3" \h \z \u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_Toc1567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/>
        </w:rPr>
        <w:t>1. 功能简介</w:t>
      </w:r>
      <w:r>
        <w:tab/>
      </w:r>
      <w:r>
        <w:fldChar w:fldCharType="begin"/>
      </w:r>
      <w:r>
        <w:instrText xml:space="preserve"> PAGEREF _Toc1567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27"/>
        <w:tabs>
          <w:tab w:val="right" w:leader="dot" w:pos="8788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_Toc18472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宋体" w:hAnsi="宋体" w:eastAsia="宋体" w:cs="宋体"/>
          <w:i w:val="0"/>
          <w:snapToGrid/>
          <w:spacing w:val="0"/>
          <w:w w:val="100"/>
          <w:kern w:val="0"/>
          <w:position w:val="0"/>
          <w:szCs w:val="32"/>
        </w:rPr>
        <w:t xml:space="preserve">1.1 </w:t>
      </w:r>
      <w:r>
        <w:rPr>
          <w:rFonts w:hint="eastAsia"/>
          <w:lang w:val="en-US" w:eastAsia="zh-CN"/>
        </w:rPr>
        <w:t>账号登录</w:t>
      </w:r>
      <w:r>
        <w:tab/>
      </w:r>
      <w:r>
        <w:fldChar w:fldCharType="begin"/>
      </w:r>
      <w:r>
        <w:instrText xml:space="preserve"> PAGEREF _Toc18472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23"/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_Toc3391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eastAsia"/>
        </w:rPr>
        <w:t xml:space="preserve">2. </w:t>
      </w:r>
      <w:r>
        <w:rPr>
          <w:rFonts w:hint="eastAsia"/>
          <w:lang w:val="en-US" w:eastAsia="zh-CN"/>
        </w:rPr>
        <w:t>操作使用指南</w:t>
      </w:r>
      <w:r>
        <w:tab/>
      </w:r>
      <w:r>
        <w:fldChar w:fldCharType="begin"/>
      </w:r>
      <w:r>
        <w:instrText xml:space="preserve"> PAGEREF _Toc3391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27"/>
        <w:tabs>
          <w:tab w:val="right" w:leader="dot" w:pos="8788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_Toc11667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宋体" w:hAnsi="宋体" w:eastAsia="宋体" w:cs="宋体"/>
          <w:i w:val="0"/>
          <w:snapToGrid/>
          <w:spacing w:val="0"/>
          <w:w w:val="100"/>
          <w:kern w:val="0"/>
          <w:position w:val="0"/>
          <w:szCs w:val="32"/>
          <w:lang w:val="en-US" w:eastAsia="zh-CN"/>
        </w:rPr>
        <w:t xml:space="preserve">2.1 </w:t>
      </w:r>
      <w:r>
        <w:rPr>
          <w:rFonts w:hint="eastAsia"/>
          <w:lang w:val="en-US" w:eastAsia="zh-CN"/>
        </w:rPr>
        <w:t>医疗机构</w:t>
      </w:r>
      <w:r>
        <w:tab/>
      </w:r>
      <w:r>
        <w:fldChar w:fldCharType="begin"/>
      </w:r>
      <w:r>
        <w:instrText xml:space="preserve"> PAGEREF _Toc11667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18"/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_Toc2623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  <w14:ligatures w14:val="none"/>
          <w14:numForm w14:val="default"/>
          <w14:numSpacing w14:val="default"/>
        </w:rPr>
        <w:t xml:space="preserve">2.1.1 </w:t>
      </w:r>
      <w:r>
        <w:rPr>
          <w:rFonts w:hint="eastAsia"/>
          <w:lang w:val="en-US" w:eastAsia="zh-CN"/>
        </w:rPr>
        <w:t>加入院内目录</w:t>
      </w:r>
      <w:r>
        <w:tab/>
      </w:r>
      <w:r>
        <w:fldChar w:fldCharType="begin"/>
      </w:r>
      <w:r>
        <w:instrText xml:space="preserve"> PAGEREF _Toc2623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18"/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_Toc22005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  <w14:ligatures w14:val="none"/>
          <w14:numForm w14:val="default"/>
          <w14:numSpacing w14:val="default"/>
        </w:rPr>
        <w:t xml:space="preserve">2.1.2 </w:t>
      </w:r>
      <w:r>
        <w:rPr>
          <w:rFonts w:hint="eastAsia"/>
          <w:lang w:val="en-US" w:eastAsia="zh-CN"/>
        </w:rPr>
        <w:t>议价管理</w:t>
      </w:r>
      <w:r>
        <w:tab/>
      </w:r>
      <w:r>
        <w:fldChar w:fldCharType="begin"/>
      </w:r>
      <w:r>
        <w:instrText xml:space="preserve"> PAGEREF _Toc22005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18"/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_Toc15761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  <w14:ligatures w14:val="none"/>
          <w14:numForm w14:val="default"/>
          <w14:numSpacing w14:val="default"/>
        </w:rPr>
        <w:t xml:space="preserve">2.1.3 </w:t>
      </w:r>
      <w:r>
        <w:rPr>
          <w:rFonts w:hint="eastAsia"/>
          <w:lang w:val="en-US" w:eastAsia="zh-CN"/>
        </w:rPr>
        <w:t>采购计划管理</w:t>
      </w:r>
      <w:r>
        <w:tab/>
      </w:r>
      <w:r>
        <w:fldChar w:fldCharType="begin"/>
      </w:r>
      <w:r>
        <w:instrText xml:space="preserve"> PAGEREF _Toc15761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18"/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_Toc5811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  <w14:ligatures w14:val="none"/>
          <w14:numForm w14:val="default"/>
          <w14:numSpacing w14:val="default"/>
        </w:rPr>
        <w:t xml:space="preserve">2.1.4 </w:t>
      </w:r>
      <w:r>
        <w:rPr>
          <w:rFonts w:hint="eastAsia"/>
          <w:lang w:val="en-US" w:eastAsia="zh-CN"/>
        </w:rPr>
        <w:t>收货退货管理</w:t>
      </w:r>
      <w:r>
        <w:tab/>
      </w:r>
      <w:r>
        <w:fldChar w:fldCharType="begin"/>
      </w:r>
      <w:r>
        <w:instrText xml:space="preserve"> PAGEREF _Toc5811 \h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27"/>
        <w:tabs>
          <w:tab w:val="right" w:leader="dot" w:pos="8788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_Toc19167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宋体" w:hAnsi="宋体" w:eastAsia="宋体" w:cs="宋体"/>
          <w:i w:val="0"/>
          <w:snapToGrid/>
          <w:spacing w:val="0"/>
          <w:w w:val="100"/>
          <w:kern w:val="0"/>
          <w:position w:val="0"/>
          <w:szCs w:val="32"/>
          <w:lang w:val="en-US" w:eastAsia="zh-CN"/>
        </w:rPr>
        <w:t xml:space="preserve">2.2 </w:t>
      </w:r>
      <w:r>
        <w:rPr>
          <w:rFonts w:hint="eastAsia"/>
          <w:lang w:val="en-US" w:eastAsia="zh-CN"/>
        </w:rPr>
        <w:t>生产/代理企业</w:t>
      </w:r>
      <w:r>
        <w:tab/>
      </w:r>
      <w:r>
        <w:fldChar w:fldCharType="begin"/>
      </w:r>
      <w:r>
        <w:instrText xml:space="preserve"> PAGEREF _Toc19167 \h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18"/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_Toc24920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  <w14:ligatures w14:val="none"/>
          <w14:numForm w14:val="default"/>
          <w14:numSpacing w14:val="default"/>
        </w:rPr>
        <w:t xml:space="preserve">2.2.1 </w:t>
      </w:r>
      <w:r>
        <w:rPr>
          <w:rFonts w:hint="eastAsia"/>
          <w:lang w:val="en-US" w:eastAsia="zh-CN"/>
        </w:rPr>
        <w:t>议价管理、设置配送企业</w:t>
      </w:r>
      <w:r>
        <w:tab/>
      </w:r>
      <w:r>
        <w:fldChar w:fldCharType="begin"/>
      </w:r>
      <w:r>
        <w:instrText xml:space="preserve"> PAGEREF _Toc24920 \h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27"/>
        <w:tabs>
          <w:tab w:val="right" w:leader="dot" w:pos="8788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_Toc28643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宋体" w:hAnsi="宋体" w:eastAsia="宋体" w:cs="宋体"/>
          <w:i w:val="0"/>
          <w:snapToGrid/>
          <w:spacing w:val="0"/>
          <w:w w:val="100"/>
          <w:kern w:val="0"/>
          <w:position w:val="0"/>
          <w:szCs w:val="32"/>
          <w:lang w:val="en-US" w:eastAsia="zh-CN"/>
        </w:rPr>
        <w:t xml:space="preserve">2.3 </w:t>
      </w:r>
      <w:r>
        <w:rPr>
          <w:rFonts w:hint="eastAsia"/>
          <w:lang w:val="en-US" w:eastAsia="zh-CN"/>
        </w:rPr>
        <w:t>配送企业</w:t>
      </w:r>
      <w:r>
        <w:tab/>
      </w:r>
      <w:r>
        <w:fldChar w:fldCharType="begin"/>
      </w:r>
      <w:r>
        <w:instrText xml:space="preserve"> PAGEREF _Toc28643 \h </w:instrText>
      </w:r>
      <w:r>
        <w:fldChar w:fldCharType="separate"/>
      </w:r>
      <w:r>
        <w:t>17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18"/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_Toc19856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  <w14:ligatures w14:val="none"/>
          <w14:numForm w14:val="default"/>
          <w14:numSpacing w14:val="default"/>
        </w:rPr>
        <w:t xml:space="preserve">2.3.1 </w:t>
      </w:r>
      <w:r>
        <w:rPr>
          <w:rFonts w:hint="eastAsia"/>
          <w:lang w:val="en-US" w:eastAsia="zh-CN"/>
        </w:rPr>
        <w:t>议价管理、选配管理</w:t>
      </w:r>
      <w:r>
        <w:tab/>
      </w:r>
      <w:r>
        <w:fldChar w:fldCharType="begin"/>
      </w:r>
      <w:r>
        <w:instrText xml:space="preserve"> PAGEREF _Toc19856 \h </w:instrText>
      </w:r>
      <w:r>
        <w:fldChar w:fldCharType="separate"/>
      </w:r>
      <w:r>
        <w:t>17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18"/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_Toc23311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  <w14:ligatures w14:val="none"/>
          <w14:numForm w14:val="default"/>
          <w14:numSpacing w14:val="default"/>
        </w:rPr>
        <w:t xml:space="preserve">2.3.2 </w:t>
      </w:r>
      <w:r>
        <w:rPr>
          <w:rFonts w:hint="eastAsia"/>
          <w:lang w:val="en-US" w:eastAsia="zh-CN"/>
        </w:rPr>
        <w:t>发货退货管理</w:t>
      </w:r>
      <w:r>
        <w:tab/>
      </w:r>
      <w:r>
        <w:fldChar w:fldCharType="begin"/>
      </w:r>
      <w:r>
        <w:instrText xml:space="preserve"> PAGEREF _Toc23311 \h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23"/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_Toc14255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/>
          <w:lang w:val="en-US" w:eastAsia="zh-CN"/>
        </w:rPr>
        <w:t xml:space="preserve">3. </w:t>
      </w:r>
      <w:r>
        <w:rPr>
          <w:rFonts w:hint="eastAsia"/>
          <w:lang w:val="en-US" w:eastAsia="zh-CN"/>
        </w:rPr>
        <w:t>常见问题结果</w:t>
      </w:r>
      <w:r>
        <w:tab/>
      </w:r>
      <w:r>
        <w:fldChar w:fldCharType="begin"/>
      </w:r>
      <w:r>
        <w:instrText xml:space="preserve"> PAGEREF _Toc14255 \h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ind w:firstLine="420"/>
        <w:rPr>
          <w:rFonts w:hint="eastAsia" w:ascii="宋体" w:hAnsi="宋体" w:eastAsia="宋体" w:cs="宋体"/>
        </w:rPr>
        <w:sectPr>
          <w:footerReference r:id="rId11" w:type="default"/>
          <w:pgSz w:w="11906" w:h="16838"/>
          <w:pgMar w:top="1417" w:right="1417" w:bottom="1417" w:left="1701" w:header="851" w:footer="992" w:gutter="0"/>
          <w:pgNumType w:fmt="upperRoman"/>
          <w:cols w:space="0" w:num="1"/>
          <w:docGrid w:type="lines" w:linePitch="312" w:charSpace="0"/>
        </w:sectPr>
      </w:pP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3"/>
        <w:tabs>
          <w:tab w:val="left" w:pos="0"/>
          <w:tab w:val="clear" w:pos="3267"/>
        </w:tabs>
        <w:bidi w:val="0"/>
        <w:ind w:left="0" w:leftChars="0" w:hanging="5" w:firstLineChars="0"/>
        <w:rPr>
          <w:rFonts w:hint="eastAsia"/>
        </w:rPr>
      </w:pPr>
      <w:bookmarkStart w:id="1" w:name="_Toc1567"/>
      <w:r>
        <w:rPr>
          <w:rFonts w:hint="eastAsia"/>
        </w:rPr>
        <w:t>功能简介</w:t>
      </w:r>
      <w:bookmarkEnd w:id="1"/>
    </w:p>
    <w:p>
      <w:pPr>
        <w:pStyle w:val="5"/>
        <w:bidi w:val="0"/>
        <w:ind w:left="0" w:leftChars="0" w:firstLine="0" w:firstLineChars="0"/>
        <w:rPr>
          <w:rFonts w:hint="eastAsia"/>
        </w:rPr>
      </w:pPr>
      <w:bookmarkStart w:id="2" w:name="_Toc18472"/>
      <w:r>
        <w:rPr>
          <w:rFonts w:hint="eastAsia"/>
          <w:lang w:val="en-US" w:eastAsia="zh-CN"/>
        </w:rPr>
        <w:t>账号登录</w:t>
      </w:r>
      <w:bookmarkEnd w:id="2"/>
    </w:p>
    <w:p>
      <w:pPr>
        <w:ind w:firstLine="420"/>
        <w:rPr>
          <w:rFonts w:hint="eastAsia" w:ascii="宋体" w:hAnsi="宋体" w:eastAsia="宋体" w:cs="宋体"/>
          <w:kern w:val="2"/>
          <w:szCs w:val="22"/>
        </w:rPr>
      </w:pPr>
      <w:r>
        <w:rPr>
          <w:rFonts w:hint="eastAsia" w:ascii="宋体" w:hAnsi="宋体" w:eastAsia="宋体" w:cs="宋体"/>
          <w:kern w:val="2"/>
          <w:szCs w:val="22"/>
        </w:rPr>
        <w:t>1、医保单位经办人员，通过门户输入系统账号、密码登录系统。</w:t>
      </w:r>
    </w:p>
    <w:p>
      <w:pPr>
        <w:pStyle w:val="25"/>
        <w:jc w:val="center"/>
        <w:rPr>
          <w:rFonts w:hint="eastAsia" w:ascii="宋体" w:hAnsi="宋体" w:eastAsia="宋体" w:cs="宋体"/>
          <w:b/>
          <w:bCs/>
          <w:sz w:val="24"/>
          <w:szCs w:val="32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580380" cy="2849245"/>
            <wp:effectExtent l="0" t="0" r="7620" b="8255"/>
            <wp:docPr id="2988" name="图片 2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8" name="图片 29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宋体" w:hAnsi="宋体" w:eastAsia="宋体" w:cs="宋体"/>
          <w:kern w:val="2"/>
          <w:szCs w:val="22"/>
        </w:rPr>
      </w:pPr>
      <w:r>
        <w:rPr>
          <w:rFonts w:hint="eastAsia" w:ascii="宋体" w:hAnsi="宋体" w:eastAsia="宋体" w:cs="宋体"/>
          <w:kern w:val="2"/>
          <w:szCs w:val="22"/>
        </w:rPr>
        <w:t>2、医疗机构、生产企业通过公服，选择单位账号登录，输入账号密码进入系统</w:t>
      </w:r>
    </w:p>
    <w:p>
      <w:pPr>
        <w:pStyle w:val="25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580380" cy="2816225"/>
            <wp:effectExtent l="0" t="0" r="7620" b="3175"/>
            <wp:docPr id="3001" name="图片 3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1" name="图片 30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宋体" w:hAnsi="宋体" w:eastAsia="宋体" w:cs="宋体"/>
          <w:kern w:val="2"/>
          <w:szCs w:val="22"/>
        </w:rPr>
      </w:pPr>
      <w:r>
        <w:rPr>
          <w:rFonts w:hint="eastAsia" w:cs="宋体"/>
          <w:kern w:val="2"/>
          <w:szCs w:val="22"/>
          <w:lang w:val="en-US" w:eastAsia="zh-CN"/>
        </w:rPr>
        <w:t>3</w:t>
      </w:r>
      <w:r>
        <w:rPr>
          <w:rFonts w:hint="eastAsia" w:ascii="宋体" w:hAnsi="宋体" w:eastAsia="宋体" w:cs="宋体"/>
          <w:kern w:val="2"/>
          <w:szCs w:val="22"/>
        </w:rPr>
        <w:t>、</w:t>
      </w:r>
      <w:r>
        <w:rPr>
          <w:rFonts w:hint="eastAsia" w:cs="宋体"/>
          <w:kern w:val="2"/>
          <w:szCs w:val="22"/>
          <w:lang w:val="en-US" w:eastAsia="zh-CN"/>
        </w:rPr>
        <w:t>配送企业、代理企业</w:t>
      </w:r>
      <w:r>
        <w:rPr>
          <w:rFonts w:hint="eastAsia" w:ascii="宋体" w:hAnsi="宋体" w:eastAsia="宋体" w:cs="宋体"/>
          <w:kern w:val="2"/>
          <w:szCs w:val="22"/>
        </w:rPr>
        <w:t>通过</w:t>
      </w:r>
      <w:r>
        <w:rPr>
          <w:rFonts w:hint="eastAsia" w:cs="宋体"/>
          <w:kern w:val="2"/>
          <w:szCs w:val="22"/>
          <w:lang w:val="en-US" w:eastAsia="zh-CN"/>
        </w:rPr>
        <w:t>招采子系统</w:t>
      </w:r>
      <w:r>
        <w:rPr>
          <w:rFonts w:hint="eastAsia" w:ascii="宋体" w:hAnsi="宋体" w:eastAsia="宋体" w:cs="宋体"/>
          <w:kern w:val="2"/>
          <w:szCs w:val="22"/>
        </w:rPr>
        <w:t>，输入账号</w:t>
      </w:r>
      <w:r>
        <w:rPr>
          <w:rFonts w:hint="eastAsia" w:cs="宋体"/>
          <w:kern w:val="2"/>
          <w:szCs w:val="22"/>
          <w:lang w:eastAsia="zh-CN"/>
        </w:rPr>
        <w:t>、</w:t>
      </w:r>
      <w:r>
        <w:rPr>
          <w:rFonts w:hint="eastAsia" w:ascii="宋体" w:hAnsi="宋体" w:eastAsia="宋体" w:cs="宋体"/>
          <w:kern w:val="2"/>
          <w:szCs w:val="22"/>
        </w:rPr>
        <w:t>密码进入系统</w:t>
      </w:r>
    </w:p>
    <w:p>
      <w:pPr>
        <w:pStyle w:val="25"/>
        <w:bidi w:val="0"/>
        <w:jc w:val="center"/>
      </w:pPr>
      <w:r>
        <w:drawing>
          <wp:inline distT="0" distB="0" distL="114300" distR="114300">
            <wp:extent cx="5577840" cy="2672715"/>
            <wp:effectExtent l="0" t="0" r="1016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3"/>
        <w:tabs>
          <w:tab w:val="left" w:pos="0"/>
          <w:tab w:val="clear" w:pos="3267"/>
        </w:tabs>
        <w:bidi w:val="0"/>
        <w:ind w:left="2845" w:leftChars="0" w:hanging="2845" w:hangingChars="1012"/>
        <w:rPr>
          <w:rFonts w:hint="eastAsia"/>
        </w:rPr>
      </w:pPr>
      <w:bookmarkStart w:id="3" w:name="_Toc3391"/>
      <w:r>
        <w:rPr>
          <w:rFonts w:hint="eastAsia"/>
          <w:lang w:val="en-US" w:eastAsia="zh-CN"/>
        </w:rPr>
        <w:t>操作使用指南</w:t>
      </w:r>
      <w:bookmarkEnd w:id="3"/>
    </w:p>
    <w:p>
      <w:pPr>
        <w:pStyle w:val="5"/>
        <w:bidi w:val="0"/>
        <w:ind w:left="995" w:leftChars="0" w:hanging="995" w:hangingChars="413"/>
        <w:rPr>
          <w:rFonts w:hint="default"/>
          <w:lang w:val="en-US" w:eastAsia="zh-CN"/>
        </w:rPr>
      </w:pPr>
      <w:bookmarkStart w:id="4" w:name="_Toc11667"/>
      <w:r>
        <w:rPr>
          <w:rFonts w:hint="eastAsia"/>
          <w:lang w:val="en-US" w:eastAsia="zh-CN"/>
        </w:rPr>
        <w:t>医疗机构</w:t>
      </w:r>
      <w:bookmarkEnd w:id="4"/>
    </w:p>
    <w:p>
      <w:pPr>
        <w:pStyle w:val="6"/>
        <w:bidi w:val="0"/>
        <w:rPr>
          <w:rFonts w:hint="default"/>
          <w:lang w:val="en-US" w:eastAsia="zh-CN"/>
        </w:rPr>
      </w:pPr>
      <w:bookmarkStart w:id="5" w:name="_Toc2623"/>
      <w:r>
        <w:rPr>
          <w:rFonts w:hint="eastAsia"/>
          <w:lang w:val="en-US" w:eastAsia="zh-CN"/>
        </w:rPr>
        <w:t>加入院内目录</w:t>
      </w:r>
      <w:bookmarkEnd w:id="5"/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功能描述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介绍中药配方颗粒/饮片加入院内目录；</w:t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操作权限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药品查询、加入院内目录、批量加入院内目录等操作；</w:t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操作流程</w:t>
      </w:r>
    </w:p>
    <w:p>
      <w:pPr>
        <w:rPr>
          <w:rFonts w:hint="eastAsia"/>
          <w:b/>
          <w:bCs/>
        </w:rPr>
      </w:pPr>
      <w:r>
        <w:rPr>
          <w:rFonts w:hint="eastAsia" w:cs="宋体"/>
          <w:b/>
          <w:bCs/>
          <w:lang w:val="en-US" w:eastAsia="zh-CN"/>
        </w:rPr>
        <w:t>【药品交易结算：目录管理-挂网目录查询】</w:t>
      </w:r>
    </w:p>
    <w:p>
      <w:pPr>
        <w:pStyle w:val="52"/>
        <w:numPr>
          <w:ilvl w:val="0"/>
          <w:numId w:val="6"/>
        </w:numPr>
        <w:ind w:firstLine="422"/>
        <w:rPr>
          <w:rFonts w:hint="default" w:cs="宋体"/>
          <w:b w:val="0"/>
          <w:bCs w:val="0"/>
          <w:lang w:val="en-US" w:eastAsia="zh-CN"/>
        </w:rPr>
      </w:pPr>
      <w:r>
        <w:rPr>
          <w:rFonts w:hint="eastAsia" w:cs="宋体"/>
          <w:b w:val="0"/>
          <w:bCs w:val="0"/>
          <w:lang w:val="en-US" w:eastAsia="zh-CN"/>
        </w:rPr>
        <w:t>点击“中药配方颗粒/中药饮片”tab页，列表展示已挂网的“中药配方颗粒/中药饮片”；列表可按“流水号”、“产品名称”、“规格”、“包装”、“生产企业”、“项目名称”、“备案号”、“执行标准”、“产品编码”查询；</w:t>
      </w:r>
    </w:p>
    <w:p>
      <w:pPr>
        <w:pStyle w:val="52"/>
        <w:numPr>
          <w:ilvl w:val="0"/>
          <w:numId w:val="0"/>
        </w:numPr>
        <w:rPr>
          <w:rFonts w:hint="default" w:cs="宋体"/>
          <w:b w:val="0"/>
          <w:bCs w:val="0"/>
          <w:lang w:val="en-US" w:eastAsia="zh-CN"/>
        </w:rPr>
      </w:pPr>
      <w:r>
        <w:drawing>
          <wp:inline distT="0" distB="0" distL="114300" distR="114300">
            <wp:extent cx="5577840" cy="2210435"/>
            <wp:effectExtent l="0" t="0" r="10160" b="1206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2"/>
        <w:numPr>
          <w:ilvl w:val="0"/>
          <w:numId w:val="6"/>
        </w:numPr>
        <w:ind w:firstLine="422"/>
        <w:rPr>
          <w:rFonts w:hint="default" w:cs="宋体"/>
          <w:b w:val="0"/>
          <w:bCs w:val="0"/>
          <w:lang w:val="en-US" w:eastAsia="zh-CN"/>
        </w:rPr>
      </w:pPr>
      <w:r>
        <w:rPr>
          <w:rFonts w:hint="eastAsia" w:cs="宋体"/>
          <w:b w:val="0"/>
          <w:bCs w:val="0"/>
          <w:lang w:val="en-US" w:eastAsia="zh-CN"/>
        </w:rPr>
        <w:t>批量添加到院内目录：选择对应的产品，点击列表右上方【批量添加到院内目录】按钮进入提示页面；提示页面【取消】放弃操作，提示页面【确定】后产品加入到院内目录；</w:t>
      </w:r>
    </w:p>
    <w:p>
      <w:pPr>
        <w:pStyle w:val="52"/>
        <w:numPr>
          <w:ilvl w:val="0"/>
          <w:numId w:val="0"/>
        </w:numPr>
        <w:rPr>
          <w:rFonts w:hint="default" w:cs="宋体"/>
          <w:b w:val="0"/>
          <w:bCs w:val="0"/>
          <w:lang w:val="en-US" w:eastAsia="zh-CN"/>
        </w:rPr>
      </w:pPr>
      <w:r>
        <w:drawing>
          <wp:inline distT="0" distB="0" distL="114300" distR="114300">
            <wp:extent cx="5575300" cy="2024380"/>
            <wp:effectExtent l="0" t="0" r="0" b="762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2"/>
        <w:numPr>
          <w:ilvl w:val="0"/>
          <w:numId w:val="6"/>
        </w:numPr>
        <w:ind w:firstLine="422"/>
        <w:rPr>
          <w:rFonts w:hint="default" w:cs="宋体"/>
          <w:b w:val="0"/>
          <w:bCs w:val="0"/>
          <w:lang w:val="en-US" w:eastAsia="zh-CN"/>
        </w:rPr>
      </w:pPr>
      <w:r>
        <w:rPr>
          <w:rFonts w:hint="eastAsia" w:cs="宋体"/>
          <w:b w:val="0"/>
          <w:bCs w:val="0"/>
          <w:lang w:val="en-US" w:eastAsia="zh-CN"/>
        </w:rPr>
        <w:t>添加到院内目录：选择对应的产品，点击操作栏中【添加到院内目录】按钮进入提示页面；提示页面【取消】放弃操作，提示页面【确定】后产品加入到院内目录；</w:t>
      </w:r>
    </w:p>
    <w:p>
      <w:pPr>
        <w:pStyle w:val="52"/>
        <w:numPr>
          <w:ilvl w:val="0"/>
          <w:numId w:val="0"/>
        </w:numPr>
        <w:rPr>
          <w:rFonts w:hint="default" w:cs="宋体"/>
          <w:b w:val="0"/>
          <w:bCs w:val="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注意：已经添加到院内目录的产品，在</w:t>
      </w:r>
      <w:r>
        <w:rPr>
          <w:rFonts w:hint="eastAsia" w:cs="宋体"/>
          <w:color w:val="FF0000"/>
          <w:lang w:val="en-US" w:eastAsia="zh-CN"/>
        </w:rPr>
        <w:t>目录管理-院内目录管理可以查询到；</w:t>
      </w:r>
    </w:p>
    <w:p>
      <w:pPr>
        <w:pStyle w:val="52"/>
        <w:numPr>
          <w:ilvl w:val="0"/>
          <w:numId w:val="0"/>
        </w:numPr>
      </w:pPr>
      <w:r>
        <w:drawing>
          <wp:inline distT="0" distB="0" distL="114300" distR="114300">
            <wp:extent cx="5571490" cy="2153285"/>
            <wp:effectExtent l="0" t="0" r="3810" b="571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2"/>
        <w:numPr>
          <w:ilvl w:val="0"/>
          <w:numId w:val="0"/>
        </w:numPr>
      </w:pPr>
    </w:p>
    <w:p>
      <w:pPr>
        <w:rPr>
          <w:rFonts w:hint="default"/>
          <w:b/>
          <w:bCs/>
          <w:lang w:val="en-US" w:eastAsia="zh-CN"/>
        </w:rPr>
      </w:pPr>
      <w:r>
        <w:rPr>
          <w:rFonts w:hint="eastAsia" w:cs="宋体"/>
          <w:b/>
          <w:bCs/>
          <w:lang w:val="en-US" w:eastAsia="zh-CN"/>
        </w:rPr>
        <w:t>【药品交易结算：目录管理-院内目录管理】</w:t>
      </w:r>
    </w:p>
    <w:p>
      <w:pPr>
        <w:pStyle w:val="52"/>
        <w:numPr>
          <w:ilvl w:val="0"/>
          <w:numId w:val="7"/>
        </w:numPr>
        <w:ind w:firstLine="422"/>
        <w:rPr>
          <w:rFonts w:hint="default" w:cs="宋体"/>
          <w:b w:val="0"/>
          <w:bCs w:val="0"/>
          <w:lang w:val="en-US" w:eastAsia="zh-CN"/>
        </w:rPr>
      </w:pPr>
      <w:r>
        <w:rPr>
          <w:rFonts w:hint="eastAsia" w:cs="宋体"/>
          <w:b w:val="0"/>
          <w:bCs w:val="0"/>
          <w:lang w:val="en-US" w:eastAsia="zh-CN"/>
        </w:rPr>
        <w:t>点击“中药配方颗粒/中药饮片”tab页，列表展示已经加入院内目录的“中药配方颗粒/中药饮片”；列表可按“流水号”、“产品名称”、“规格”、“包装”、“生产企业”、“项目名称”、“备案号”、“执行标准”、“产品编码”查询；</w:t>
      </w:r>
    </w:p>
    <w:p>
      <w:pPr>
        <w:pStyle w:val="52"/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573395" cy="1807845"/>
            <wp:effectExtent l="0" t="0" r="1905" b="8255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73395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2"/>
        <w:numPr>
          <w:ilvl w:val="0"/>
          <w:numId w:val="7"/>
        </w:numPr>
        <w:ind w:firstLine="422"/>
        <w:rPr>
          <w:rFonts w:hint="default" w:cs="宋体"/>
          <w:b w:val="0"/>
          <w:bCs w:val="0"/>
          <w:lang w:val="en-US" w:eastAsia="zh-CN"/>
        </w:rPr>
      </w:pPr>
      <w:r>
        <w:rPr>
          <w:rFonts w:hint="eastAsia" w:cs="宋体"/>
          <w:b w:val="0"/>
          <w:bCs w:val="0"/>
          <w:lang w:val="en-US" w:eastAsia="zh-CN"/>
        </w:rPr>
        <w:t>添加院内目录：点击【添加院内目录】按钮，进入产品页面，可以单个或批量添加到院内目录；</w:t>
      </w:r>
    </w:p>
    <w:p>
      <w:pPr>
        <w:pStyle w:val="52"/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569585" cy="2358390"/>
            <wp:effectExtent l="0" t="0" r="5715" b="3810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69585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注意事项</w:t>
      </w:r>
    </w:p>
    <w:p>
      <w:pPr>
        <w:pStyle w:val="52"/>
        <w:ind w:firstLine="420"/>
        <w:rPr>
          <w:rFonts w:hint="eastAsia" w:cs="宋体"/>
          <w:color w:val="FF0000"/>
          <w:lang w:val="en-US" w:eastAsia="zh-CN"/>
        </w:rPr>
      </w:pPr>
      <w:r>
        <w:rPr>
          <w:rFonts w:hint="eastAsia" w:ascii="宋体" w:hAnsi="宋体" w:eastAsia="宋体" w:cs="宋体"/>
          <w:color w:val="FF0000"/>
        </w:rPr>
        <w:t>*注：</w:t>
      </w:r>
      <w:r>
        <w:rPr>
          <w:rFonts w:hint="eastAsia" w:cs="宋体"/>
          <w:color w:val="FF0000"/>
          <w:lang w:val="en-US" w:eastAsia="zh-CN"/>
        </w:rPr>
        <w:t>在院内目录管理列表中“当前默认配送企业”为空是没有设置配送企业，需要项目维护-中药配方颗粒/中药饮片中议价</w:t>
      </w:r>
    </w:p>
    <w:p>
      <w:pPr>
        <w:pStyle w:val="6"/>
        <w:bidi w:val="0"/>
        <w:rPr>
          <w:rFonts w:hint="default"/>
          <w:lang w:val="en-US" w:eastAsia="zh-CN"/>
        </w:rPr>
      </w:pPr>
      <w:bookmarkStart w:id="6" w:name="_Toc22005"/>
      <w:r>
        <w:rPr>
          <w:rFonts w:hint="eastAsia"/>
          <w:lang w:val="en-US" w:eastAsia="zh-CN"/>
        </w:rPr>
        <w:t>议价管理</w:t>
      </w:r>
      <w:bookmarkEnd w:id="6"/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功能描述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介绍中药配方颗粒/饮片议价；</w:t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操作权限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产品查询、提交等操作；</w:t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操作流程</w:t>
      </w:r>
    </w:p>
    <w:p>
      <w:pPr>
        <w:rPr>
          <w:rFonts w:hint="eastAsia"/>
          <w:b/>
          <w:bCs/>
        </w:rPr>
      </w:pPr>
      <w:r>
        <w:rPr>
          <w:rFonts w:hint="eastAsia" w:cs="宋体"/>
          <w:b/>
          <w:bCs/>
          <w:lang w:val="en-US" w:eastAsia="zh-CN"/>
        </w:rPr>
        <w:t>【药品交易结算：项目维护-中药配方颗粒/中药饮片】</w:t>
      </w:r>
    </w:p>
    <w:p>
      <w:pPr>
        <w:pStyle w:val="52"/>
        <w:numPr>
          <w:ilvl w:val="0"/>
          <w:numId w:val="8"/>
        </w:numPr>
        <w:ind w:firstLine="422"/>
        <w:rPr>
          <w:rFonts w:hint="default" w:cs="宋体"/>
          <w:b w:val="0"/>
          <w:bCs w:val="0"/>
          <w:lang w:val="en-US" w:eastAsia="zh-CN"/>
        </w:rPr>
      </w:pPr>
      <w:r>
        <w:rPr>
          <w:rFonts w:hint="eastAsia" w:cs="宋体"/>
          <w:b w:val="0"/>
          <w:bCs w:val="0"/>
          <w:lang w:val="en-US" w:eastAsia="zh-CN"/>
        </w:rPr>
        <w:t>可按项目查询，列表展示不同项目相关信息；</w:t>
      </w:r>
    </w:p>
    <w:p>
      <w:pPr>
        <w:pStyle w:val="52"/>
        <w:numPr>
          <w:ilvl w:val="0"/>
          <w:numId w:val="0"/>
        </w:numPr>
        <w:rPr>
          <w:rFonts w:hint="default" w:cs="宋体"/>
          <w:b w:val="0"/>
          <w:bCs w:val="0"/>
          <w:lang w:val="en-US" w:eastAsia="zh-CN"/>
        </w:rPr>
      </w:pPr>
      <w:r>
        <w:drawing>
          <wp:inline distT="0" distB="0" distL="114300" distR="114300">
            <wp:extent cx="5571490" cy="1915160"/>
            <wp:effectExtent l="0" t="0" r="3810" b="2540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2"/>
        <w:numPr>
          <w:ilvl w:val="0"/>
          <w:numId w:val="8"/>
        </w:numPr>
        <w:ind w:firstLine="422"/>
        <w:rPr>
          <w:rFonts w:hint="default" w:cs="宋体"/>
          <w:b w:val="0"/>
          <w:bCs w:val="0"/>
          <w:lang w:val="en-US" w:eastAsia="zh-CN"/>
        </w:rPr>
      </w:pPr>
      <w:r>
        <w:rPr>
          <w:rFonts w:hint="eastAsia" w:cs="宋体"/>
          <w:b w:val="0"/>
          <w:bCs w:val="0"/>
          <w:lang w:val="en-US" w:eastAsia="zh-CN"/>
        </w:rPr>
        <w:t>查看：点击主页面的【查看】按钮，进入查询详情页面，列表展示已挂网的产品；</w:t>
      </w:r>
    </w:p>
    <w:p>
      <w:pPr>
        <w:pStyle w:val="52"/>
        <w:numPr>
          <w:ilvl w:val="0"/>
          <w:numId w:val="0"/>
        </w:numPr>
        <w:rPr>
          <w:rFonts w:hint="default" w:cs="宋体"/>
          <w:b w:val="0"/>
          <w:bCs w:val="0"/>
          <w:lang w:val="en-US" w:eastAsia="zh-CN"/>
        </w:rPr>
      </w:pPr>
      <w:r>
        <w:drawing>
          <wp:inline distT="0" distB="0" distL="114300" distR="114300">
            <wp:extent cx="5571490" cy="2402840"/>
            <wp:effectExtent l="0" t="0" r="3810" b="10160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2"/>
        <w:numPr>
          <w:ilvl w:val="0"/>
          <w:numId w:val="8"/>
        </w:numPr>
        <w:ind w:firstLine="422"/>
        <w:rPr>
          <w:rFonts w:hint="default" w:cs="宋体"/>
          <w:b w:val="0"/>
          <w:bCs w:val="0"/>
          <w:lang w:val="en-US" w:eastAsia="zh-CN"/>
        </w:rPr>
      </w:pPr>
      <w:r>
        <w:rPr>
          <w:rFonts w:hint="eastAsia" w:cs="宋体"/>
          <w:b w:val="0"/>
          <w:bCs w:val="0"/>
          <w:lang w:val="en-US" w:eastAsia="zh-CN"/>
        </w:rPr>
        <w:t>议价管理：点击【议价管理】，进入已经页面，选择对应的产品，确认“采购价格”后点击【提交】，提交后对应的申报企业进行确认；</w:t>
      </w:r>
    </w:p>
    <w:p>
      <w:pPr>
        <w:pStyle w:val="52"/>
        <w:numPr>
          <w:ilvl w:val="0"/>
          <w:numId w:val="0"/>
        </w:numPr>
        <w:rPr>
          <w:rFonts w:hint="default" w:cs="宋体"/>
          <w:b w:val="0"/>
          <w:bCs w:val="0"/>
          <w:color w:val="FF0000"/>
          <w:lang w:val="en-US" w:eastAsia="zh-CN"/>
        </w:rPr>
      </w:pPr>
      <w:r>
        <w:rPr>
          <w:rFonts w:hint="eastAsia" w:cs="宋体"/>
          <w:b w:val="0"/>
          <w:bCs w:val="0"/>
          <w:color w:val="FF0000"/>
          <w:lang w:val="en-US" w:eastAsia="zh-CN"/>
        </w:rPr>
        <w:t>注意：请注意页面红色的提示信息；</w:t>
      </w:r>
    </w:p>
    <w:p>
      <w:pPr>
        <w:pStyle w:val="52"/>
        <w:numPr>
          <w:ilvl w:val="0"/>
          <w:numId w:val="0"/>
        </w:numPr>
        <w:rPr>
          <w:rFonts w:hint="default" w:cs="宋体"/>
          <w:b w:val="0"/>
          <w:bCs w:val="0"/>
          <w:lang w:val="en-US" w:eastAsia="zh-CN"/>
        </w:rPr>
      </w:pPr>
      <w:r>
        <w:drawing>
          <wp:inline distT="0" distB="0" distL="114300" distR="114300">
            <wp:extent cx="5575300" cy="2303145"/>
            <wp:effectExtent l="0" t="0" r="0" b="8255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注意事项</w:t>
      </w:r>
    </w:p>
    <w:p>
      <w:pPr>
        <w:pStyle w:val="52"/>
        <w:ind w:firstLine="420"/>
        <w:rPr>
          <w:rFonts w:hint="eastAsia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*注：</w:t>
      </w:r>
      <w:r>
        <w:rPr>
          <w:rFonts w:hint="eastAsia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无</w:t>
      </w:r>
    </w:p>
    <w:p>
      <w:pPr>
        <w:pStyle w:val="6"/>
        <w:bidi w:val="0"/>
        <w:rPr>
          <w:rFonts w:hint="default"/>
          <w:lang w:val="en-US" w:eastAsia="zh-CN"/>
        </w:rPr>
      </w:pPr>
      <w:bookmarkStart w:id="7" w:name="_Toc15761"/>
      <w:r>
        <w:rPr>
          <w:rFonts w:hint="eastAsia"/>
          <w:lang w:val="en-US" w:eastAsia="zh-CN"/>
        </w:rPr>
        <w:t>采购计划管理</w:t>
      </w:r>
      <w:bookmarkEnd w:id="7"/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功能描述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介绍中药配方颗粒/饮片采购流程；</w:t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操作权限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创建采购计划、采购计划审核等操作；</w:t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操作流程</w:t>
      </w:r>
    </w:p>
    <w:p>
      <w:pPr>
        <w:rPr>
          <w:rFonts w:hint="eastAsia"/>
          <w:b/>
          <w:bCs/>
        </w:rPr>
      </w:pPr>
      <w:r>
        <w:rPr>
          <w:rFonts w:hint="eastAsia" w:cs="宋体"/>
          <w:b/>
          <w:bCs/>
          <w:lang w:val="en-US" w:eastAsia="zh-CN"/>
        </w:rPr>
        <w:t>【药品交易结算：采购计划管理-创建采购计划】</w:t>
      </w:r>
    </w:p>
    <w:p>
      <w:pPr>
        <w:pStyle w:val="52"/>
        <w:numPr>
          <w:ilvl w:val="0"/>
          <w:numId w:val="9"/>
        </w:numPr>
        <w:ind w:firstLine="422"/>
        <w:rPr>
          <w:rFonts w:hint="default" w:cs="宋体"/>
          <w:b w:val="0"/>
          <w:bCs w:val="0"/>
          <w:lang w:val="en-US" w:eastAsia="zh-CN"/>
        </w:rPr>
      </w:pPr>
      <w:r>
        <w:rPr>
          <w:rFonts w:hint="eastAsia" w:cs="宋体"/>
          <w:b w:val="0"/>
          <w:bCs w:val="0"/>
          <w:lang w:val="en-US" w:eastAsia="zh-CN"/>
        </w:rPr>
        <w:t>点击“中药配方颗粒/中药饮片”tab页，列表展示已经加入院内目录且有配送企业的“中药配方颗粒/中药饮片”产品；列表可按“流水号”、“产品名称”、“规格”、“包装”、“生产企业”、“项目名称”、“备案号”、“执行标准”等查询；</w:t>
      </w:r>
    </w:p>
    <w:p>
      <w:pPr>
        <w:pStyle w:val="52"/>
        <w:numPr>
          <w:ilvl w:val="0"/>
          <w:numId w:val="0"/>
        </w:numPr>
      </w:pPr>
      <w:r>
        <w:drawing>
          <wp:inline distT="0" distB="0" distL="114300" distR="114300">
            <wp:extent cx="5571490" cy="2449195"/>
            <wp:effectExtent l="0" t="0" r="3810" b="1905"/>
            <wp:docPr id="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2"/>
        <w:numPr>
          <w:ilvl w:val="0"/>
          <w:numId w:val="9"/>
        </w:numPr>
        <w:ind w:firstLine="422"/>
        <w:rPr>
          <w:rFonts w:hint="default" w:cs="宋体"/>
          <w:b w:val="0"/>
          <w:bCs w:val="0"/>
          <w:lang w:val="en-US" w:eastAsia="zh-CN"/>
        </w:rPr>
      </w:pPr>
      <w:r>
        <w:rPr>
          <w:rFonts w:hint="eastAsia" w:cs="宋体"/>
          <w:b w:val="0"/>
          <w:bCs w:val="0"/>
          <w:lang w:val="en-US" w:eastAsia="zh-CN"/>
        </w:rPr>
        <w:t>导出：点击【导出】按钮，数据会在在【任务日志】中展示，下载对应的数据；</w:t>
      </w:r>
    </w:p>
    <w:p>
      <w:pPr>
        <w:pStyle w:val="52"/>
        <w:numPr>
          <w:ilvl w:val="0"/>
          <w:numId w:val="0"/>
        </w:numPr>
      </w:pPr>
      <w:r>
        <w:drawing>
          <wp:inline distT="0" distB="0" distL="114300" distR="114300">
            <wp:extent cx="5569585" cy="2197735"/>
            <wp:effectExtent l="0" t="0" r="5715" b="12065"/>
            <wp:docPr id="3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69585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2"/>
        <w:numPr>
          <w:ilvl w:val="0"/>
          <w:numId w:val="9"/>
        </w:numPr>
        <w:ind w:firstLine="420"/>
        <w:rPr>
          <w:rFonts w:hint="eastAsia"/>
          <w:lang w:val="en-US" w:eastAsia="zh-CN"/>
        </w:rPr>
      </w:pPr>
      <w:r>
        <w:rPr>
          <w:rFonts w:hint="eastAsia" w:cs="宋体"/>
          <w:lang w:val="en-US" w:eastAsia="zh-CN"/>
        </w:rPr>
        <w:t>填写完列表的采购数量，点击操作栏中的【加入】，再点击【制单完成】，进入编辑采购计划页面；</w:t>
      </w:r>
    </w:p>
    <w:p>
      <w:pPr>
        <w:pStyle w:val="52"/>
        <w:numPr>
          <w:ilvl w:val="0"/>
          <w:numId w:val="0"/>
        </w:numPr>
        <w:rPr>
          <w:rFonts w:hint="default"/>
          <w:color w:val="FF0000"/>
          <w:lang w:val="en-US" w:eastAsia="zh-CN"/>
        </w:rPr>
      </w:pPr>
      <w:r>
        <w:rPr>
          <w:rFonts w:hint="eastAsia" w:cs="宋体"/>
          <w:color w:val="FF0000"/>
          <w:lang w:val="en-US" w:eastAsia="zh-CN"/>
        </w:rPr>
        <w:t>注意：不同项目需要分开制单，不能在同一采购单中；</w:t>
      </w:r>
    </w:p>
    <w:p>
      <w:pPr>
        <w:pStyle w:val="52"/>
        <w:numPr>
          <w:ilvl w:val="0"/>
          <w:numId w:val="0"/>
        </w:numPr>
      </w:pPr>
      <w:r>
        <w:drawing>
          <wp:inline distT="0" distB="0" distL="114300" distR="114300">
            <wp:extent cx="5571490" cy="2440305"/>
            <wp:effectExtent l="0" t="0" r="3810" b="10795"/>
            <wp:docPr id="4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创建采购计划-加入采购单</w:t>
      </w:r>
    </w:p>
    <w:p>
      <w:pPr>
        <w:pStyle w:val="52"/>
        <w:numPr>
          <w:ilvl w:val="0"/>
          <w:numId w:val="9"/>
        </w:numPr>
        <w:ind w:firstLine="420"/>
        <w:rPr>
          <w:rFonts w:hint="eastAsia"/>
          <w:lang w:val="en-US" w:eastAsia="zh-CN"/>
        </w:rPr>
      </w:pPr>
      <w:r>
        <w:rPr>
          <w:rFonts w:hint="eastAsia" w:cs="宋体"/>
          <w:lang w:val="en-US" w:eastAsia="zh-CN"/>
        </w:rPr>
        <w:t>编辑采购计划-添加：点击【添加】，进入添加产品页面，选择对应产品加入采购计划；</w:t>
      </w:r>
    </w:p>
    <w:p>
      <w:pPr>
        <w:pStyle w:val="52"/>
        <w:numPr>
          <w:ilvl w:val="0"/>
          <w:numId w:val="0"/>
        </w:numPr>
      </w:pPr>
      <w:r>
        <w:drawing>
          <wp:inline distT="0" distB="0" distL="114300" distR="114300">
            <wp:extent cx="5571490" cy="2463800"/>
            <wp:effectExtent l="0" t="0" r="3810" b="0"/>
            <wp:docPr id="5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编辑采购计划</w:t>
      </w:r>
    </w:p>
    <w:p>
      <w:pPr>
        <w:pStyle w:val="25"/>
        <w:bidi w:val="0"/>
        <w:jc w:val="both"/>
      </w:pPr>
      <w:r>
        <w:drawing>
          <wp:inline distT="0" distB="0" distL="114300" distR="114300">
            <wp:extent cx="5578475" cy="2197735"/>
            <wp:effectExtent l="0" t="0" r="9525" b="12065"/>
            <wp:docPr id="5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78475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编辑采购计划-添加产品</w:t>
      </w:r>
    </w:p>
    <w:p>
      <w:pPr>
        <w:pStyle w:val="52"/>
        <w:numPr>
          <w:ilvl w:val="0"/>
          <w:numId w:val="9"/>
        </w:numPr>
        <w:ind w:firstLine="420"/>
        <w:rPr>
          <w:rFonts w:hint="eastAsia"/>
          <w:lang w:val="en-US" w:eastAsia="zh-CN"/>
        </w:rPr>
      </w:pPr>
      <w:r>
        <w:rPr>
          <w:rFonts w:hint="eastAsia" w:cs="宋体"/>
          <w:lang w:val="en-US" w:eastAsia="zh-CN"/>
        </w:rPr>
        <w:t>编辑采购计划-历史单加载：点击【历史单加载】，选择对应历史单，点击【加载】，会清空当前列表数据，加载对应历史采购明细；</w:t>
      </w:r>
    </w:p>
    <w:p>
      <w:pPr>
        <w:pStyle w:val="52"/>
        <w:numPr>
          <w:ilvl w:val="0"/>
          <w:numId w:val="0"/>
        </w:numPr>
      </w:pPr>
      <w:r>
        <w:drawing>
          <wp:inline distT="0" distB="0" distL="114300" distR="114300">
            <wp:extent cx="5571490" cy="2188210"/>
            <wp:effectExtent l="0" t="0" r="3810" b="8890"/>
            <wp:docPr id="5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bidi w:val="0"/>
        <w:jc w:val="center"/>
      </w:pPr>
      <w:r>
        <w:rPr>
          <w:rFonts w:hint="eastAsia"/>
          <w:lang w:val="en-US" w:eastAsia="zh-CN"/>
        </w:rPr>
        <w:t>编辑采购计划-历史单加载</w:t>
      </w:r>
    </w:p>
    <w:p>
      <w:pPr>
        <w:pStyle w:val="52"/>
        <w:numPr>
          <w:ilvl w:val="0"/>
          <w:numId w:val="9"/>
        </w:numPr>
        <w:ind w:firstLine="420"/>
        <w:rPr>
          <w:rFonts w:hint="eastAsia"/>
          <w:lang w:val="en-US" w:eastAsia="zh-CN"/>
        </w:rPr>
      </w:pPr>
      <w:r>
        <w:rPr>
          <w:rFonts w:hint="eastAsia" w:cs="宋体"/>
          <w:lang w:val="en-US" w:eastAsia="zh-CN"/>
        </w:rPr>
        <w:t>编辑采购计划-批量删除：选择产品，点击【批量删除】，删除不需要的产品；</w:t>
      </w:r>
    </w:p>
    <w:p>
      <w:pPr>
        <w:pStyle w:val="52"/>
        <w:numPr>
          <w:ilvl w:val="0"/>
          <w:numId w:val="0"/>
        </w:numPr>
      </w:pPr>
      <w:r>
        <w:drawing>
          <wp:inline distT="0" distB="0" distL="114300" distR="114300">
            <wp:extent cx="5573395" cy="2202180"/>
            <wp:effectExtent l="0" t="0" r="1905" b="7620"/>
            <wp:docPr id="5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73395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bidi w:val="0"/>
        <w:jc w:val="center"/>
        <w:rPr>
          <w:rFonts w:hint="default"/>
          <w:lang w:val="en-US"/>
        </w:rPr>
      </w:pPr>
      <w:r>
        <w:rPr>
          <w:rFonts w:hint="eastAsia"/>
          <w:lang w:val="en-US" w:eastAsia="zh-CN"/>
        </w:rPr>
        <w:t>编辑采购计划-批量删除</w:t>
      </w:r>
    </w:p>
    <w:p>
      <w:pPr>
        <w:pStyle w:val="52"/>
        <w:numPr>
          <w:ilvl w:val="0"/>
          <w:numId w:val="9"/>
        </w:numPr>
        <w:ind w:firstLine="420"/>
        <w:rPr>
          <w:rFonts w:hint="eastAsia"/>
          <w:lang w:val="en-US" w:eastAsia="zh-CN"/>
        </w:rPr>
      </w:pPr>
      <w:r>
        <w:rPr>
          <w:rFonts w:hint="eastAsia" w:cs="宋体"/>
          <w:lang w:val="en-US" w:eastAsia="zh-CN"/>
        </w:rPr>
        <w:t>编辑采购计划-删除：选择产品，点击【删除】，删除不需要的产品；</w:t>
      </w:r>
    </w:p>
    <w:p>
      <w:pPr>
        <w:pStyle w:val="52"/>
        <w:numPr>
          <w:ilvl w:val="0"/>
          <w:numId w:val="0"/>
        </w:numPr>
      </w:pPr>
      <w:r>
        <w:drawing>
          <wp:inline distT="0" distB="0" distL="114300" distR="114300">
            <wp:extent cx="5574665" cy="2412365"/>
            <wp:effectExtent l="0" t="0" r="635" b="635"/>
            <wp:docPr id="5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74665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编辑采购计划-删除</w:t>
      </w:r>
    </w:p>
    <w:p>
      <w:pPr>
        <w:pStyle w:val="52"/>
        <w:numPr>
          <w:ilvl w:val="0"/>
          <w:numId w:val="9"/>
        </w:numPr>
        <w:ind w:firstLine="420"/>
        <w:rPr>
          <w:rFonts w:hint="eastAsia"/>
          <w:lang w:val="en-US" w:eastAsia="zh-CN"/>
        </w:rPr>
      </w:pPr>
      <w:r>
        <w:rPr>
          <w:rFonts w:hint="eastAsia" w:cs="宋体"/>
          <w:lang w:val="en-US" w:eastAsia="zh-CN"/>
        </w:rPr>
        <w:t>核对无误后点击【生成采购计划】或【提交】；</w:t>
      </w:r>
    </w:p>
    <w:p>
      <w:pPr>
        <w:pStyle w:val="25"/>
        <w:bidi w:val="0"/>
        <w:jc w:val="both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</w:t>
      </w:r>
    </w:p>
    <w:p>
      <w:pPr>
        <w:pStyle w:val="25"/>
        <w:bidi w:val="0"/>
        <w:ind w:firstLine="360" w:firstLineChars="200"/>
        <w:jc w:val="both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1、点击【生成采购计划】，数据可以填写备注信息，保存后，数据到“采购计划管理”待送审tab页，可以编辑或作废操作；</w:t>
      </w:r>
    </w:p>
    <w:p>
      <w:pPr>
        <w:pStyle w:val="25"/>
        <w:bidi w:val="0"/>
        <w:ind w:firstLine="360" w:firstLineChars="200"/>
        <w:jc w:val="both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2、点击【提交】，填写审核人信息，数据到“采购计划管理-采购计划审核”中，进行审核；</w:t>
      </w:r>
    </w:p>
    <w:p>
      <w:pPr>
        <w:pStyle w:val="25"/>
        <w:bidi w:val="0"/>
        <w:jc w:val="both"/>
      </w:pPr>
      <w:r>
        <w:drawing>
          <wp:inline distT="0" distB="0" distL="114300" distR="114300">
            <wp:extent cx="5574665" cy="2324100"/>
            <wp:effectExtent l="0" t="0" r="635" b="0"/>
            <wp:docPr id="5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7466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创建采购计划-生成采购计划</w:t>
      </w:r>
    </w:p>
    <w:p>
      <w:pPr>
        <w:pStyle w:val="25"/>
        <w:bidi w:val="0"/>
        <w:jc w:val="both"/>
      </w:pPr>
      <w:r>
        <w:drawing>
          <wp:inline distT="0" distB="0" distL="114300" distR="114300">
            <wp:extent cx="5569585" cy="2474595"/>
            <wp:effectExtent l="0" t="0" r="5715" b="1905"/>
            <wp:docPr id="5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69585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创建采购计划-提交</w:t>
      </w:r>
    </w:p>
    <w:p>
      <w:pPr>
        <w:rPr>
          <w:rFonts w:hint="eastAsia"/>
          <w:b/>
          <w:bCs/>
        </w:rPr>
      </w:pPr>
      <w:r>
        <w:rPr>
          <w:rFonts w:hint="eastAsia" w:cs="宋体"/>
          <w:b/>
          <w:bCs/>
          <w:lang w:val="en-US" w:eastAsia="zh-CN"/>
        </w:rPr>
        <w:t>【药品交易结算：采购计划管理-采购计划管理】</w:t>
      </w:r>
    </w:p>
    <w:p>
      <w:pPr>
        <w:pStyle w:val="52"/>
        <w:numPr>
          <w:ilvl w:val="0"/>
          <w:numId w:val="10"/>
        </w:numPr>
        <w:ind w:firstLine="422"/>
        <w:rPr>
          <w:rFonts w:hint="default" w:cs="宋体"/>
          <w:b w:val="0"/>
          <w:bCs w:val="0"/>
          <w:lang w:val="en-US" w:eastAsia="zh-CN"/>
        </w:rPr>
      </w:pPr>
      <w:r>
        <w:rPr>
          <w:rFonts w:hint="eastAsia" w:cs="宋体"/>
          <w:b w:val="0"/>
          <w:bCs w:val="0"/>
          <w:lang w:val="en-US" w:eastAsia="zh-CN"/>
        </w:rPr>
        <w:t>点击“待送审”tab页，列表展示“待送审”的数据，可以编辑、作废、批量送审和批量作废操作；</w:t>
      </w:r>
    </w:p>
    <w:p>
      <w:pPr>
        <w:pStyle w:val="25"/>
        <w:bidi w:val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571490" cy="1671320"/>
            <wp:effectExtent l="0" t="0" r="3810" b="5080"/>
            <wp:docPr id="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采购计划管理-待送审</w:t>
      </w:r>
    </w:p>
    <w:p>
      <w:pPr>
        <w:pStyle w:val="52"/>
        <w:numPr>
          <w:ilvl w:val="0"/>
          <w:numId w:val="10"/>
        </w:numPr>
        <w:ind w:firstLine="422"/>
        <w:rPr>
          <w:rFonts w:hint="default" w:cs="宋体"/>
          <w:b w:val="0"/>
          <w:bCs w:val="0"/>
          <w:lang w:val="en-US" w:eastAsia="zh-CN"/>
        </w:rPr>
      </w:pPr>
      <w:r>
        <w:rPr>
          <w:rFonts w:hint="eastAsia" w:cs="宋体"/>
          <w:b w:val="0"/>
          <w:bCs w:val="0"/>
          <w:lang w:val="en-US" w:eastAsia="zh-CN"/>
        </w:rPr>
        <w:t>点击“待审核”tab页，列表展示“待审核”的数据，可以查询详情和撤回到待送审列表中；</w:t>
      </w:r>
    </w:p>
    <w:p>
      <w:pPr>
        <w:pStyle w:val="25"/>
        <w:bidi w:val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569585" cy="1699260"/>
            <wp:effectExtent l="0" t="0" r="5715" b="2540"/>
            <wp:docPr id="6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6958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采购计划管理-待审核</w:t>
      </w:r>
    </w:p>
    <w:p>
      <w:pPr>
        <w:pStyle w:val="52"/>
        <w:numPr>
          <w:ilvl w:val="0"/>
          <w:numId w:val="10"/>
        </w:numPr>
        <w:ind w:firstLine="422"/>
        <w:rPr>
          <w:rFonts w:hint="default" w:cs="宋体"/>
          <w:b w:val="0"/>
          <w:bCs w:val="0"/>
          <w:lang w:val="en-US" w:eastAsia="zh-CN"/>
        </w:rPr>
      </w:pPr>
      <w:r>
        <w:rPr>
          <w:rFonts w:hint="eastAsia" w:cs="宋体"/>
          <w:b w:val="0"/>
          <w:bCs w:val="0"/>
          <w:lang w:val="en-US" w:eastAsia="zh-CN"/>
        </w:rPr>
        <w:t>点击“被退回”tab页，列表展示“审核不通过”的数据，可以批量送审、批量作废、编辑和作废；</w:t>
      </w:r>
    </w:p>
    <w:p>
      <w:pPr>
        <w:pStyle w:val="25"/>
        <w:bidi w:val="0"/>
        <w:jc w:val="center"/>
        <w:rPr>
          <w:rFonts w:hint="default"/>
          <w:lang w:val="en-US" w:eastAsia="zh-CN"/>
        </w:rPr>
      </w:pPr>
    </w:p>
    <w:p>
      <w:pPr>
        <w:pStyle w:val="25"/>
        <w:bidi w:val="0"/>
        <w:jc w:val="center"/>
      </w:pPr>
      <w:r>
        <w:drawing>
          <wp:inline distT="0" distB="0" distL="114300" distR="114300">
            <wp:extent cx="5573395" cy="1734820"/>
            <wp:effectExtent l="0" t="0" r="1905" b="5080"/>
            <wp:docPr id="6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73395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采购计划管理-被退回</w:t>
      </w:r>
    </w:p>
    <w:p>
      <w:pPr>
        <w:pStyle w:val="52"/>
        <w:numPr>
          <w:ilvl w:val="0"/>
          <w:numId w:val="10"/>
        </w:numPr>
        <w:ind w:firstLine="422"/>
        <w:rPr>
          <w:rFonts w:hint="default" w:cs="宋体"/>
          <w:b w:val="0"/>
          <w:bCs w:val="0"/>
          <w:lang w:val="en-US" w:eastAsia="zh-CN"/>
        </w:rPr>
      </w:pPr>
      <w:r>
        <w:rPr>
          <w:rFonts w:hint="eastAsia" w:cs="宋体"/>
          <w:b w:val="0"/>
          <w:bCs w:val="0"/>
          <w:lang w:val="en-US" w:eastAsia="zh-CN"/>
        </w:rPr>
        <w:t>点击“待发送”tab页，列表展示“审核通过”的数据，可以批量发送、批量撤回；</w:t>
      </w:r>
    </w:p>
    <w:p>
      <w:pPr>
        <w:pStyle w:val="25"/>
        <w:bidi w:val="0"/>
        <w:jc w:val="center"/>
        <w:rPr>
          <w:rFonts w:hint="default"/>
          <w:lang w:val="en-US" w:eastAsia="zh-CN"/>
        </w:rPr>
      </w:pPr>
    </w:p>
    <w:p>
      <w:pPr>
        <w:pStyle w:val="25"/>
        <w:bidi w:val="0"/>
        <w:jc w:val="center"/>
      </w:pPr>
      <w:r>
        <w:drawing>
          <wp:inline distT="0" distB="0" distL="114300" distR="114300">
            <wp:extent cx="5571490" cy="1569720"/>
            <wp:effectExtent l="0" t="0" r="3810" b="5080"/>
            <wp:docPr id="6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采购计划管理-待发送</w:t>
      </w:r>
    </w:p>
    <w:p>
      <w:pPr>
        <w:pStyle w:val="52"/>
        <w:numPr>
          <w:ilvl w:val="0"/>
          <w:numId w:val="10"/>
        </w:numPr>
        <w:ind w:firstLine="422"/>
        <w:rPr>
          <w:rFonts w:hint="default" w:cs="宋体"/>
          <w:b w:val="0"/>
          <w:bCs w:val="0"/>
          <w:lang w:val="en-US" w:eastAsia="zh-CN"/>
        </w:rPr>
      </w:pPr>
      <w:r>
        <w:rPr>
          <w:rFonts w:hint="eastAsia" w:cs="宋体"/>
          <w:b w:val="0"/>
          <w:bCs w:val="0"/>
          <w:lang w:val="en-US" w:eastAsia="zh-CN"/>
        </w:rPr>
        <w:t>点击“已发送”tab页，列表展示“已发送”的数据，可以撤回到“已作废”tab页；</w:t>
      </w:r>
    </w:p>
    <w:p>
      <w:pPr>
        <w:pStyle w:val="25"/>
        <w:bidi w:val="0"/>
        <w:jc w:val="center"/>
        <w:rPr>
          <w:rFonts w:hint="default"/>
          <w:lang w:val="en-US" w:eastAsia="zh-CN"/>
        </w:rPr>
      </w:pPr>
    </w:p>
    <w:p>
      <w:pPr>
        <w:pStyle w:val="25"/>
        <w:bidi w:val="0"/>
        <w:jc w:val="center"/>
      </w:pPr>
      <w:r>
        <w:drawing>
          <wp:inline distT="0" distB="0" distL="114300" distR="114300">
            <wp:extent cx="5569585" cy="2044700"/>
            <wp:effectExtent l="0" t="0" r="5715" b="0"/>
            <wp:docPr id="6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6958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采购计划管理-已发送</w:t>
      </w:r>
    </w:p>
    <w:p>
      <w:pPr>
        <w:pStyle w:val="52"/>
        <w:numPr>
          <w:ilvl w:val="0"/>
          <w:numId w:val="10"/>
        </w:numPr>
        <w:ind w:firstLine="422"/>
        <w:rPr>
          <w:rFonts w:hint="default" w:cs="宋体"/>
          <w:b w:val="0"/>
          <w:bCs w:val="0"/>
          <w:lang w:val="en-US" w:eastAsia="zh-CN"/>
        </w:rPr>
      </w:pPr>
      <w:r>
        <w:rPr>
          <w:rFonts w:hint="eastAsia" w:cs="宋体"/>
          <w:b w:val="0"/>
          <w:bCs w:val="0"/>
          <w:lang w:val="en-US" w:eastAsia="zh-CN"/>
        </w:rPr>
        <w:t>点击“已作废”tab页，列表展示“已作废”的数据；</w:t>
      </w:r>
    </w:p>
    <w:p>
      <w:pPr>
        <w:pStyle w:val="25"/>
        <w:bidi w:val="0"/>
        <w:jc w:val="center"/>
      </w:pPr>
      <w:r>
        <w:drawing>
          <wp:inline distT="0" distB="0" distL="114300" distR="114300">
            <wp:extent cx="5577840" cy="1779905"/>
            <wp:effectExtent l="0" t="0" r="10160" b="10795"/>
            <wp:docPr id="7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采购计划管理-已作废</w:t>
      </w:r>
    </w:p>
    <w:p>
      <w:pPr>
        <w:rPr>
          <w:rFonts w:hint="eastAsia"/>
          <w:b/>
          <w:bCs/>
        </w:rPr>
      </w:pPr>
      <w:r>
        <w:rPr>
          <w:rFonts w:hint="eastAsia" w:cs="宋体"/>
          <w:b/>
          <w:bCs/>
          <w:lang w:val="en-US" w:eastAsia="zh-CN"/>
        </w:rPr>
        <w:t>【药品交易结算：采购计划管理-采购计划审核】</w:t>
      </w:r>
    </w:p>
    <w:p>
      <w:pPr>
        <w:pStyle w:val="52"/>
        <w:numPr>
          <w:ilvl w:val="0"/>
          <w:numId w:val="11"/>
        </w:numPr>
        <w:ind w:firstLine="42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cs="宋体"/>
          <w:lang w:val="en-US" w:eastAsia="zh-CN"/>
        </w:rPr>
        <w:t>点击“待审核”tab页，页面展示待审核数据；点击【审核】进入审核页面；</w:t>
      </w:r>
    </w:p>
    <w:p>
      <w:pPr>
        <w:pStyle w:val="52"/>
        <w:numPr>
          <w:ilvl w:val="0"/>
          <w:numId w:val="0"/>
        </w:numPr>
        <w:ind w:firstLine="840" w:firstLineChars="400"/>
        <w:rPr>
          <w:rFonts w:hint="eastAsia" w:cs="宋体"/>
          <w:lang w:val="en-US" w:eastAsia="zh-CN"/>
        </w:rPr>
      </w:pPr>
      <w:r>
        <w:rPr>
          <w:rFonts w:hint="eastAsia" w:cs="宋体"/>
          <w:lang w:val="en-US" w:eastAsia="zh-CN"/>
        </w:rPr>
        <w:t>1.1点击【审核并发送】：数据在“已发送”tab页可以查询到；</w:t>
      </w:r>
    </w:p>
    <w:p>
      <w:pPr>
        <w:pStyle w:val="52"/>
        <w:numPr>
          <w:ilvl w:val="0"/>
          <w:numId w:val="0"/>
        </w:numPr>
        <w:ind w:firstLine="840" w:firstLineChars="400"/>
        <w:rPr>
          <w:rFonts w:hint="eastAsia" w:cs="宋体"/>
          <w:lang w:val="en-US" w:eastAsia="zh-CN"/>
        </w:rPr>
      </w:pPr>
      <w:r>
        <w:rPr>
          <w:rFonts w:hint="eastAsia" w:cs="宋体"/>
          <w:lang w:val="en-US" w:eastAsia="zh-CN"/>
        </w:rPr>
        <w:t>1.2点击【审核不通过】：数据被退回到“采购计划管理-被退回”tab页；</w:t>
      </w:r>
    </w:p>
    <w:p>
      <w:pPr>
        <w:pStyle w:val="52"/>
        <w:numPr>
          <w:ilvl w:val="0"/>
          <w:numId w:val="0"/>
        </w:numPr>
        <w:ind w:firstLine="840" w:firstLineChars="4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cs="宋体"/>
          <w:lang w:val="en-US" w:eastAsia="zh-CN"/>
        </w:rPr>
        <w:t>1.3点击【审核通过】：数据在“已审核”tab页可以查询到；</w:t>
      </w:r>
    </w:p>
    <w:p>
      <w:pPr>
        <w:pStyle w:val="25"/>
        <w:jc w:val="center"/>
        <w:rPr>
          <w:rFonts w:hint="eastAsia"/>
        </w:rPr>
      </w:pPr>
      <w:r>
        <w:drawing>
          <wp:inline distT="0" distB="0" distL="114300" distR="114300">
            <wp:extent cx="5571490" cy="1628140"/>
            <wp:effectExtent l="0" t="0" r="3810" b="10160"/>
            <wp:docPr id="7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  <w:rPr>
          <w:rFonts w:hint="default" w:cs="宋体"/>
          <w:lang w:val="en-US" w:eastAsia="zh-CN"/>
        </w:rPr>
      </w:pPr>
      <w:r>
        <w:rPr>
          <w:rFonts w:hint="eastAsia" w:cs="宋体"/>
          <w:lang w:val="en-US" w:eastAsia="zh-CN"/>
        </w:rPr>
        <w:t>采购计划审核</w:t>
      </w:r>
      <w:r>
        <w:rPr>
          <w:rFonts w:hint="eastAsia" w:ascii="宋体" w:hAnsi="宋体" w:eastAsia="宋体" w:cs="宋体"/>
          <w:lang w:val="en-US" w:eastAsia="zh-CN"/>
        </w:rPr>
        <w:t>-</w:t>
      </w:r>
      <w:r>
        <w:rPr>
          <w:rFonts w:hint="eastAsia" w:cs="宋体"/>
          <w:lang w:val="en-US" w:eastAsia="zh-CN"/>
        </w:rPr>
        <w:t>待审核</w:t>
      </w:r>
    </w:p>
    <w:p>
      <w:pPr>
        <w:pStyle w:val="25"/>
        <w:jc w:val="center"/>
      </w:pPr>
      <w:r>
        <w:drawing>
          <wp:inline distT="0" distB="0" distL="114300" distR="114300">
            <wp:extent cx="5575300" cy="2433955"/>
            <wp:effectExtent l="0" t="0" r="0" b="4445"/>
            <wp:docPr id="7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  <w:rPr>
          <w:rFonts w:hint="default" w:cs="宋体"/>
          <w:lang w:val="en-US" w:eastAsia="zh-CN"/>
        </w:rPr>
      </w:pPr>
      <w:r>
        <w:rPr>
          <w:rFonts w:hint="eastAsia" w:cs="宋体"/>
          <w:lang w:val="en-US" w:eastAsia="zh-CN"/>
        </w:rPr>
        <w:t>采购计划审核</w:t>
      </w:r>
      <w:r>
        <w:rPr>
          <w:rFonts w:hint="eastAsia" w:ascii="宋体" w:hAnsi="宋体" w:eastAsia="宋体" w:cs="宋体"/>
          <w:lang w:val="en-US" w:eastAsia="zh-CN"/>
        </w:rPr>
        <w:t>-</w:t>
      </w:r>
      <w:r>
        <w:rPr>
          <w:rFonts w:hint="eastAsia" w:cs="宋体"/>
          <w:lang w:val="en-US" w:eastAsia="zh-CN"/>
        </w:rPr>
        <w:t>待审核详情页</w:t>
      </w:r>
    </w:p>
    <w:p>
      <w:pPr>
        <w:pStyle w:val="25"/>
        <w:jc w:val="center"/>
      </w:pPr>
    </w:p>
    <w:p>
      <w:pPr>
        <w:pStyle w:val="52"/>
        <w:numPr>
          <w:ilvl w:val="0"/>
          <w:numId w:val="11"/>
        </w:numPr>
        <w:ind w:firstLine="42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cs="宋体"/>
          <w:lang w:val="en-US" w:eastAsia="zh-CN"/>
        </w:rPr>
        <w:t>点击“已审核”tab页，页面展示已审核数据；</w:t>
      </w:r>
    </w:p>
    <w:p>
      <w:pPr>
        <w:pStyle w:val="52"/>
        <w:numPr>
          <w:ilvl w:val="0"/>
          <w:numId w:val="0"/>
        </w:numPr>
        <w:rPr>
          <w:rFonts w:hint="default" w:cs="宋体"/>
          <w:lang w:val="en-US" w:eastAsia="zh-CN"/>
        </w:rPr>
      </w:pPr>
      <w:r>
        <w:rPr>
          <w:rFonts w:hint="eastAsia" w:cs="宋体"/>
          <w:lang w:val="en-US" w:eastAsia="zh-CN"/>
        </w:rPr>
        <w:t xml:space="preserve">        2.1点击【撤销审核】：数据批量撤销到“待审核”tab页；</w:t>
      </w:r>
    </w:p>
    <w:p>
      <w:pPr>
        <w:pStyle w:val="52"/>
        <w:numPr>
          <w:ilvl w:val="0"/>
          <w:numId w:val="0"/>
        </w:numPr>
        <w:ind w:firstLine="840" w:firstLineChars="400"/>
        <w:rPr>
          <w:rFonts w:hint="default" w:cs="宋体"/>
          <w:lang w:val="en-US" w:eastAsia="zh-CN"/>
        </w:rPr>
      </w:pPr>
      <w:r>
        <w:rPr>
          <w:rFonts w:hint="eastAsia" w:cs="宋体"/>
          <w:lang w:val="en-US" w:eastAsia="zh-CN"/>
        </w:rPr>
        <w:t>2.2点击【发送】：进入发送采购计划详情页，对单个采购单进行【发送】或【撤销审核】；</w:t>
      </w:r>
    </w:p>
    <w:p>
      <w:pPr>
        <w:pStyle w:val="52"/>
        <w:numPr>
          <w:ilvl w:val="0"/>
          <w:numId w:val="0"/>
        </w:numPr>
        <w:rPr>
          <w:rFonts w:hint="default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578475" cy="1681480"/>
            <wp:effectExtent l="0" t="0" r="9525" b="7620"/>
            <wp:docPr id="7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78475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  <w:rPr>
          <w:rFonts w:hint="eastAsia" w:cs="宋体"/>
          <w:lang w:val="en-US" w:eastAsia="zh-CN"/>
        </w:rPr>
      </w:pPr>
      <w:r>
        <w:rPr>
          <w:rFonts w:hint="eastAsia" w:cs="宋体"/>
          <w:lang w:val="en-US" w:eastAsia="zh-CN"/>
        </w:rPr>
        <w:t>采购计划审核</w:t>
      </w:r>
      <w:r>
        <w:rPr>
          <w:rFonts w:hint="eastAsia" w:ascii="宋体" w:hAnsi="宋体" w:eastAsia="宋体" w:cs="宋体"/>
          <w:lang w:val="en-US" w:eastAsia="zh-CN"/>
        </w:rPr>
        <w:t>-</w:t>
      </w:r>
      <w:r>
        <w:rPr>
          <w:rFonts w:hint="eastAsia" w:cs="宋体"/>
          <w:lang w:val="en-US" w:eastAsia="zh-CN"/>
        </w:rPr>
        <w:t>已审核</w:t>
      </w:r>
    </w:p>
    <w:p>
      <w:pPr>
        <w:pStyle w:val="25"/>
        <w:jc w:val="center"/>
      </w:pPr>
      <w:r>
        <w:drawing>
          <wp:inline distT="0" distB="0" distL="114300" distR="114300">
            <wp:extent cx="5572760" cy="2337435"/>
            <wp:effectExtent l="0" t="0" r="2540" b="12065"/>
            <wp:docPr id="7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cs="宋体"/>
          <w:lang w:val="en-US" w:eastAsia="zh-CN"/>
        </w:rPr>
        <w:t>采购计划审核</w:t>
      </w:r>
      <w:r>
        <w:rPr>
          <w:rFonts w:hint="eastAsia" w:ascii="宋体" w:hAnsi="宋体" w:eastAsia="宋体" w:cs="宋体"/>
          <w:lang w:val="en-US" w:eastAsia="zh-CN"/>
        </w:rPr>
        <w:t>-</w:t>
      </w:r>
      <w:r>
        <w:rPr>
          <w:rFonts w:hint="eastAsia" w:cs="宋体"/>
          <w:lang w:val="en-US" w:eastAsia="zh-CN"/>
        </w:rPr>
        <w:t>发送详情页</w:t>
      </w:r>
    </w:p>
    <w:p>
      <w:pPr>
        <w:pStyle w:val="52"/>
        <w:numPr>
          <w:ilvl w:val="0"/>
          <w:numId w:val="11"/>
        </w:numPr>
        <w:ind w:firstLine="42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cs="宋体"/>
          <w:lang w:val="en-US" w:eastAsia="zh-CN"/>
        </w:rPr>
        <w:t>点击“已发送”tab页，页面展示已发送数据，配送企业没发货的订单，可以点击【作废】取消订单；</w:t>
      </w:r>
    </w:p>
    <w:p>
      <w:pPr>
        <w:pStyle w:val="52"/>
        <w:numPr>
          <w:ilvl w:val="0"/>
          <w:numId w:val="0"/>
        </w:numPr>
      </w:pPr>
      <w:r>
        <w:drawing>
          <wp:inline distT="0" distB="0" distL="114300" distR="114300">
            <wp:extent cx="5569585" cy="1649095"/>
            <wp:effectExtent l="0" t="0" r="5715" b="1905"/>
            <wp:docPr id="7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69585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  <w:rPr>
          <w:rFonts w:hint="eastAsia" w:cs="宋体"/>
          <w:lang w:val="en-US" w:eastAsia="zh-CN"/>
        </w:rPr>
      </w:pPr>
      <w:r>
        <w:rPr>
          <w:rFonts w:hint="eastAsia" w:cs="宋体"/>
          <w:lang w:val="en-US" w:eastAsia="zh-CN"/>
        </w:rPr>
        <w:t>采购计划审核</w:t>
      </w:r>
      <w:r>
        <w:rPr>
          <w:rFonts w:hint="eastAsia" w:ascii="宋体" w:hAnsi="宋体" w:eastAsia="宋体" w:cs="宋体"/>
          <w:lang w:val="en-US" w:eastAsia="zh-CN"/>
        </w:rPr>
        <w:t>-</w:t>
      </w:r>
      <w:r>
        <w:rPr>
          <w:rFonts w:hint="eastAsia" w:cs="宋体"/>
          <w:lang w:val="en-US" w:eastAsia="zh-CN"/>
        </w:rPr>
        <w:t>已发送</w:t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注意事项</w:t>
      </w:r>
    </w:p>
    <w:p>
      <w:pPr>
        <w:pStyle w:val="52"/>
        <w:ind w:firstLine="420"/>
        <w:rPr>
          <w:rFonts w:hint="eastAsia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*注：</w:t>
      </w:r>
      <w:r>
        <w:rPr>
          <w:rFonts w:hint="eastAsia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无</w:t>
      </w:r>
    </w:p>
    <w:p>
      <w:pPr>
        <w:pStyle w:val="6"/>
        <w:bidi w:val="0"/>
        <w:rPr>
          <w:rFonts w:hint="default"/>
          <w:lang w:val="en-US" w:eastAsia="zh-CN"/>
        </w:rPr>
      </w:pPr>
      <w:bookmarkStart w:id="8" w:name="_Toc5811"/>
      <w:r>
        <w:rPr>
          <w:rFonts w:hint="eastAsia"/>
          <w:lang w:val="en-US" w:eastAsia="zh-CN"/>
        </w:rPr>
        <w:t>收货退货管理</w:t>
      </w:r>
      <w:bookmarkEnd w:id="8"/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功能描述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介绍中药配方颗粒/饮片收货退货管理；</w:t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操作权限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收货、退货等操作；</w:t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操作流程</w:t>
      </w:r>
    </w:p>
    <w:p>
      <w:pPr>
        <w:rPr>
          <w:rFonts w:hint="eastAsia"/>
          <w:b/>
          <w:bCs/>
        </w:rPr>
      </w:pPr>
      <w:r>
        <w:rPr>
          <w:rFonts w:hint="eastAsia" w:cs="宋体"/>
          <w:b/>
          <w:bCs/>
          <w:lang w:val="en-US" w:eastAsia="zh-CN"/>
        </w:rPr>
        <w:t>【药品交易结算：收货退货管理-收货管理】</w:t>
      </w:r>
    </w:p>
    <w:p>
      <w:pPr>
        <w:pStyle w:val="52"/>
        <w:numPr>
          <w:ilvl w:val="0"/>
          <w:numId w:val="12"/>
        </w:numPr>
        <w:ind w:firstLine="422"/>
        <w:rPr>
          <w:rFonts w:hint="default" w:cs="宋体"/>
          <w:b w:val="0"/>
          <w:bCs w:val="0"/>
          <w:lang w:val="en-US" w:eastAsia="zh-CN"/>
        </w:rPr>
      </w:pPr>
      <w:r>
        <w:rPr>
          <w:rFonts w:hint="eastAsia" w:cs="宋体"/>
          <w:b w:val="0"/>
          <w:bCs w:val="0"/>
          <w:lang w:val="en-US" w:eastAsia="zh-CN"/>
        </w:rPr>
        <w:t>点击“按订单发送”tab页，列表展示已发货的订单；点击操作栏的【确认收货】进入收货详情页面，修改“本次到货数量”，点击【确认收货】；</w:t>
      </w:r>
    </w:p>
    <w:p>
      <w:pPr>
        <w:pStyle w:val="52"/>
        <w:numPr>
          <w:ilvl w:val="0"/>
          <w:numId w:val="0"/>
        </w:numPr>
      </w:pPr>
      <w:r>
        <w:drawing>
          <wp:inline distT="0" distB="0" distL="114300" distR="114300">
            <wp:extent cx="5571490" cy="2136140"/>
            <wp:effectExtent l="0" t="0" r="3810" b="10160"/>
            <wp:docPr id="7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  <w:rPr>
          <w:rFonts w:hint="default" w:cs="宋体"/>
          <w:lang w:val="en-US" w:eastAsia="zh-CN"/>
        </w:rPr>
      </w:pPr>
      <w:r>
        <w:rPr>
          <w:rFonts w:hint="eastAsia" w:cs="宋体"/>
          <w:lang w:val="en-US" w:eastAsia="zh-CN"/>
        </w:rPr>
        <w:t>收货管理</w:t>
      </w:r>
      <w:r>
        <w:rPr>
          <w:rFonts w:hint="eastAsia" w:ascii="宋体" w:hAnsi="宋体" w:eastAsia="宋体" w:cs="宋体"/>
          <w:lang w:val="en-US" w:eastAsia="zh-CN"/>
        </w:rPr>
        <w:t>-</w:t>
      </w:r>
      <w:r>
        <w:rPr>
          <w:rFonts w:hint="eastAsia" w:cs="宋体"/>
          <w:lang w:val="en-US" w:eastAsia="zh-CN"/>
        </w:rPr>
        <w:t>按订单收货</w:t>
      </w:r>
    </w:p>
    <w:p>
      <w:pPr>
        <w:pStyle w:val="52"/>
        <w:numPr>
          <w:ilvl w:val="0"/>
          <w:numId w:val="0"/>
        </w:numPr>
      </w:pPr>
      <w:r>
        <w:drawing>
          <wp:inline distT="0" distB="0" distL="114300" distR="114300">
            <wp:extent cx="5569585" cy="1638300"/>
            <wp:effectExtent l="0" t="0" r="5715" b="0"/>
            <wp:docPr id="7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6958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</w:pPr>
      <w:r>
        <w:rPr>
          <w:rFonts w:hint="eastAsia" w:cs="宋体"/>
          <w:lang w:val="en-US" w:eastAsia="zh-CN"/>
        </w:rPr>
        <w:t>收货管理</w:t>
      </w:r>
      <w:r>
        <w:rPr>
          <w:rFonts w:hint="eastAsia" w:ascii="宋体" w:hAnsi="宋体" w:eastAsia="宋体" w:cs="宋体"/>
          <w:lang w:val="en-US" w:eastAsia="zh-CN"/>
        </w:rPr>
        <w:t>-</w:t>
      </w:r>
      <w:r>
        <w:rPr>
          <w:rFonts w:hint="eastAsia" w:cs="宋体"/>
          <w:lang w:val="en-US" w:eastAsia="zh-CN"/>
        </w:rPr>
        <w:t>按订单收货详情页</w:t>
      </w:r>
    </w:p>
    <w:p>
      <w:pPr>
        <w:pStyle w:val="52"/>
        <w:numPr>
          <w:ilvl w:val="0"/>
          <w:numId w:val="12"/>
        </w:numPr>
        <w:ind w:firstLine="422"/>
        <w:rPr>
          <w:rFonts w:hint="default" w:cs="宋体"/>
          <w:b w:val="0"/>
          <w:bCs w:val="0"/>
          <w:lang w:val="en-US" w:eastAsia="zh-CN"/>
        </w:rPr>
      </w:pPr>
      <w:r>
        <w:rPr>
          <w:rFonts w:hint="eastAsia" w:cs="宋体"/>
          <w:b w:val="0"/>
          <w:bCs w:val="0"/>
          <w:lang w:val="en-US" w:eastAsia="zh-CN"/>
        </w:rPr>
        <w:t>点击“按明细收货”tab页：列表展示发货订单中的明细，可以修改“本次到货数量”，进行【确认收货】或【批量确认】；</w:t>
      </w:r>
    </w:p>
    <w:p>
      <w:pPr>
        <w:pStyle w:val="52"/>
        <w:numPr>
          <w:ilvl w:val="0"/>
          <w:numId w:val="0"/>
        </w:numPr>
      </w:pPr>
      <w:r>
        <w:drawing>
          <wp:inline distT="0" distB="0" distL="114300" distR="114300">
            <wp:extent cx="5571490" cy="1778635"/>
            <wp:effectExtent l="0" t="0" r="3810" b="12065"/>
            <wp:docPr id="8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4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  <w:rPr>
          <w:rFonts w:hint="default"/>
          <w:lang w:val="en-US"/>
        </w:rPr>
      </w:pPr>
      <w:r>
        <w:rPr>
          <w:rFonts w:hint="eastAsia" w:cs="宋体"/>
          <w:lang w:val="en-US" w:eastAsia="zh-CN"/>
        </w:rPr>
        <w:t>收货管理</w:t>
      </w:r>
      <w:r>
        <w:rPr>
          <w:rFonts w:hint="eastAsia" w:ascii="宋体" w:hAnsi="宋体" w:eastAsia="宋体" w:cs="宋体"/>
          <w:lang w:val="en-US" w:eastAsia="zh-CN"/>
        </w:rPr>
        <w:t>-</w:t>
      </w:r>
      <w:r>
        <w:rPr>
          <w:rFonts w:hint="eastAsia" w:cs="宋体"/>
          <w:lang w:val="en-US" w:eastAsia="zh-CN"/>
        </w:rPr>
        <w:t>按明细收货</w:t>
      </w:r>
    </w:p>
    <w:p>
      <w:pPr>
        <w:rPr>
          <w:rFonts w:hint="eastAsia"/>
          <w:b/>
          <w:bCs/>
        </w:rPr>
      </w:pPr>
      <w:r>
        <w:rPr>
          <w:rFonts w:hint="eastAsia" w:cs="宋体"/>
          <w:b/>
          <w:bCs/>
          <w:lang w:val="en-US" w:eastAsia="zh-CN"/>
        </w:rPr>
        <w:t>【药品交易结算：收货退货管理-退货管理】</w:t>
      </w:r>
    </w:p>
    <w:p>
      <w:pPr>
        <w:pStyle w:val="52"/>
        <w:numPr>
          <w:ilvl w:val="0"/>
          <w:numId w:val="13"/>
        </w:numPr>
        <w:ind w:firstLine="422"/>
        <w:rPr>
          <w:rFonts w:hint="default" w:cs="宋体"/>
          <w:b w:val="0"/>
          <w:bCs w:val="0"/>
          <w:lang w:val="en-US" w:eastAsia="zh-CN"/>
        </w:rPr>
      </w:pPr>
      <w:r>
        <w:rPr>
          <w:rFonts w:hint="eastAsia" w:cs="宋体"/>
          <w:b w:val="0"/>
          <w:bCs w:val="0"/>
          <w:lang w:val="en-US" w:eastAsia="zh-CN"/>
        </w:rPr>
        <w:t>点击“待确认”tab页，列表展示已申请退货数据；</w:t>
      </w:r>
    </w:p>
    <w:p>
      <w:pPr>
        <w:pStyle w:val="52"/>
        <w:numPr>
          <w:ilvl w:val="0"/>
          <w:numId w:val="0"/>
        </w:numPr>
        <w:ind w:firstLine="840" w:firstLineChars="400"/>
        <w:rPr>
          <w:rFonts w:hint="eastAsia" w:cs="宋体"/>
          <w:b w:val="0"/>
          <w:bCs w:val="0"/>
          <w:lang w:val="en-US" w:eastAsia="zh-CN"/>
        </w:rPr>
      </w:pPr>
      <w:r>
        <w:rPr>
          <w:rFonts w:hint="eastAsia" w:cs="宋体"/>
          <w:b w:val="0"/>
          <w:bCs w:val="0"/>
          <w:lang w:val="en-US" w:eastAsia="zh-CN"/>
        </w:rPr>
        <w:t>1.1点击【申请退货】进入申请退货明细页面，选择对应的明细，点击【下一步】，进入申请退货详情，填写“退货原因”、“本次退货数”，点击【提交退货】返回主列表，数据发送到配送企业；</w:t>
      </w:r>
    </w:p>
    <w:p>
      <w:pPr>
        <w:pStyle w:val="52"/>
        <w:numPr>
          <w:ilvl w:val="0"/>
          <w:numId w:val="0"/>
        </w:numPr>
        <w:ind w:firstLine="840" w:firstLineChars="400"/>
        <w:rPr>
          <w:rFonts w:hint="default" w:cs="宋体"/>
          <w:b w:val="0"/>
          <w:bCs w:val="0"/>
          <w:lang w:val="en-US" w:eastAsia="zh-CN"/>
        </w:rPr>
      </w:pPr>
      <w:r>
        <w:rPr>
          <w:rFonts w:hint="eastAsia" w:cs="宋体"/>
          <w:b w:val="0"/>
          <w:bCs w:val="0"/>
          <w:lang w:val="en-US" w:eastAsia="zh-CN"/>
        </w:rPr>
        <w:t>1.2点击【撤销】，撤销申请退货数据；</w:t>
      </w:r>
    </w:p>
    <w:p>
      <w:pPr>
        <w:pStyle w:val="52"/>
        <w:numPr>
          <w:ilvl w:val="0"/>
          <w:numId w:val="0"/>
        </w:numPr>
      </w:pPr>
      <w:r>
        <w:drawing>
          <wp:inline distT="0" distB="0" distL="114300" distR="114300">
            <wp:extent cx="5578475" cy="1722755"/>
            <wp:effectExtent l="0" t="0" r="9525" b="4445"/>
            <wp:docPr id="8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4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7847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  <w:rPr>
          <w:rFonts w:hint="default"/>
          <w:lang w:val="en-US"/>
        </w:rPr>
      </w:pPr>
      <w:r>
        <w:rPr>
          <w:rFonts w:hint="eastAsia" w:cs="宋体"/>
          <w:lang w:val="en-US" w:eastAsia="zh-CN"/>
        </w:rPr>
        <w:t>退货管理</w:t>
      </w:r>
    </w:p>
    <w:p>
      <w:pPr>
        <w:pStyle w:val="52"/>
        <w:numPr>
          <w:ilvl w:val="0"/>
          <w:numId w:val="0"/>
        </w:numPr>
      </w:pPr>
      <w:r>
        <w:drawing>
          <wp:inline distT="0" distB="0" distL="114300" distR="114300">
            <wp:extent cx="5569585" cy="2282190"/>
            <wp:effectExtent l="0" t="0" r="5715" b="3810"/>
            <wp:docPr id="8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4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6958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  <w:rPr>
          <w:rFonts w:hint="eastAsia" w:cs="宋体"/>
          <w:lang w:val="en-US" w:eastAsia="zh-CN"/>
        </w:rPr>
      </w:pPr>
      <w:r>
        <w:rPr>
          <w:rFonts w:hint="eastAsia" w:cs="宋体"/>
          <w:lang w:val="en-US" w:eastAsia="zh-CN"/>
        </w:rPr>
        <w:t>退货管理-申请退货明细列表</w:t>
      </w:r>
    </w:p>
    <w:p>
      <w:pPr>
        <w:pStyle w:val="25"/>
        <w:jc w:val="center"/>
      </w:pPr>
      <w:r>
        <w:drawing>
          <wp:inline distT="0" distB="0" distL="114300" distR="114300">
            <wp:extent cx="5571490" cy="1863090"/>
            <wp:effectExtent l="0" t="0" r="3810" b="3810"/>
            <wp:docPr id="8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4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  <w:rPr>
          <w:rFonts w:hint="default"/>
          <w:lang w:val="en-US" w:eastAsia="zh-CN"/>
        </w:rPr>
      </w:pPr>
      <w:r>
        <w:rPr>
          <w:rFonts w:hint="eastAsia" w:cs="宋体"/>
          <w:lang w:val="en-US" w:eastAsia="zh-CN"/>
        </w:rPr>
        <w:t>退货管理-申请退货详情</w:t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注意事项</w:t>
      </w:r>
    </w:p>
    <w:p>
      <w:pPr>
        <w:pStyle w:val="52"/>
        <w:ind w:firstLine="420"/>
        <w:rPr>
          <w:rFonts w:hint="default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*注：</w:t>
      </w:r>
      <w:r>
        <w:rPr>
          <w:rFonts w:hint="eastAsia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无</w:t>
      </w:r>
    </w:p>
    <w:p>
      <w:pPr>
        <w:pStyle w:val="5"/>
        <w:bidi w:val="0"/>
        <w:ind w:left="995" w:leftChars="0" w:hanging="995" w:hangingChars="413"/>
        <w:rPr>
          <w:rFonts w:hint="default"/>
          <w:lang w:val="en-US" w:eastAsia="zh-CN"/>
        </w:rPr>
      </w:pPr>
      <w:bookmarkStart w:id="9" w:name="_Toc19167"/>
      <w:r>
        <w:rPr>
          <w:rFonts w:hint="eastAsia"/>
          <w:lang w:val="en-US" w:eastAsia="zh-CN"/>
        </w:rPr>
        <w:t>生产/代理企业</w:t>
      </w:r>
      <w:bookmarkEnd w:id="9"/>
    </w:p>
    <w:p>
      <w:pPr>
        <w:pStyle w:val="6"/>
        <w:bidi w:val="0"/>
        <w:rPr>
          <w:rFonts w:hint="default"/>
          <w:lang w:val="en-US" w:eastAsia="zh-CN"/>
        </w:rPr>
      </w:pPr>
      <w:bookmarkStart w:id="10" w:name="_Toc24920"/>
      <w:r>
        <w:rPr>
          <w:rFonts w:hint="eastAsia"/>
          <w:lang w:val="en-US" w:eastAsia="zh-CN"/>
        </w:rPr>
        <w:t>议价管理、设置配送企业</w:t>
      </w:r>
      <w:bookmarkEnd w:id="10"/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功能描述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介绍生产/代理企业议价管理、设置配送企业功能；</w:t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操作权限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药品查询、议价、选择配送企业等操作；</w:t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操作流程</w:t>
      </w:r>
    </w:p>
    <w:p>
      <w:pPr>
        <w:rPr>
          <w:rFonts w:hint="eastAsia"/>
          <w:b/>
          <w:bCs/>
        </w:rPr>
      </w:pPr>
      <w:r>
        <w:rPr>
          <w:rFonts w:hint="eastAsia" w:cs="宋体"/>
          <w:b/>
          <w:bCs/>
          <w:lang w:val="en-US" w:eastAsia="zh-CN"/>
        </w:rPr>
        <w:t>【药品交易结算：项目维护-中药配方颗粒/中药饮片】</w:t>
      </w:r>
    </w:p>
    <w:p>
      <w:pPr>
        <w:pStyle w:val="52"/>
        <w:numPr>
          <w:ilvl w:val="0"/>
          <w:numId w:val="14"/>
        </w:numPr>
        <w:ind w:firstLine="422"/>
        <w:rPr>
          <w:rFonts w:hint="default" w:cs="宋体"/>
          <w:b w:val="0"/>
          <w:bCs w:val="0"/>
          <w:lang w:val="en-US" w:eastAsia="zh-CN"/>
        </w:rPr>
      </w:pPr>
      <w:r>
        <w:rPr>
          <w:rFonts w:hint="eastAsia" w:cs="宋体"/>
          <w:b w:val="0"/>
          <w:bCs w:val="0"/>
          <w:lang w:val="en-US" w:eastAsia="zh-CN"/>
        </w:rPr>
        <w:t>列表：展示已挂网的产品，可按“流水号”、“产品名称”、“产品编码”、“规格”、“包装”、“项目名称”等查询；</w:t>
      </w:r>
    </w:p>
    <w:p>
      <w:pPr>
        <w:pStyle w:val="52"/>
        <w:numPr>
          <w:ilvl w:val="0"/>
          <w:numId w:val="0"/>
        </w:numPr>
      </w:pPr>
      <w:r>
        <w:drawing>
          <wp:inline distT="0" distB="0" distL="114300" distR="114300">
            <wp:extent cx="5577840" cy="2041525"/>
            <wp:effectExtent l="0" t="0" r="10160" b="3175"/>
            <wp:docPr id="8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4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  <w:rPr>
          <w:rFonts w:hint="eastAsia" w:cs="宋体"/>
          <w:lang w:val="en-US" w:eastAsia="zh-CN"/>
        </w:rPr>
      </w:pPr>
      <w:r>
        <w:rPr>
          <w:rFonts w:hint="eastAsia" w:cs="宋体"/>
          <w:lang w:val="en-US" w:eastAsia="zh-CN"/>
        </w:rPr>
        <w:t>中药配方颗粒/中药饮片</w:t>
      </w:r>
    </w:p>
    <w:p>
      <w:pPr>
        <w:pStyle w:val="52"/>
        <w:numPr>
          <w:ilvl w:val="0"/>
          <w:numId w:val="14"/>
        </w:numPr>
        <w:ind w:firstLine="422"/>
        <w:rPr>
          <w:rFonts w:hint="default" w:cs="宋体"/>
          <w:b w:val="0"/>
          <w:bCs w:val="0"/>
          <w:lang w:val="en-US" w:eastAsia="zh-CN"/>
        </w:rPr>
      </w:pPr>
      <w:r>
        <w:rPr>
          <w:rFonts w:hint="eastAsia" w:cs="宋体"/>
          <w:b w:val="0"/>
          <w:bCs w:val="0"/>
          <w:lang w:val="en-US" w:eastAsia="zh-CN"/>
        </w:rPr>
        <w:t>待议价数量：点击“待议价数量”不为0的数据，进入议价管理页面，确认“议价价格”后，点击【同意】或者【不同意】；</w:t>
      </w:r>
    </w:p>
    <w:p>
      <w:pPr>
        <w:pStyle w:val="52"/>
        <w:numPr>
          <w:ilvl w:val="0"/>
          <w:numId w:val="0"/>
        </w:numPr>
        <w:rPr>
          <w:rFonts w:hint="default" w:cs="宋体"/>
          <w:b w:val="0"/>
          <w:bCs w:val="0"/>
          <w:color w:val="FF0000"/>
          <w:lang w:val="en-US" w:eastAsia="zh-CN"/>
        </w:rPr>
      </w:pPr>
      <w:r>
        <w:rPr>
          <w:rFonts w:hint="eastAsia" w:cs="宋体"/>
          <w:b w:val="0"/>
          <w:bCs w:val="0"/>
          <w:color w:val="FF0000"/>
          <w:lang w:val="en-US" w:eastAsia="zh-CN"/>
        </w:rPr>
        <w:t>注意：查看页面的红色字体的议价流程、选配流程提示信息；</w:t>
      </w:r>
    </w:p>
    <w:p>
      <w:pPr>
        <w:pStyle w:val="52"/>
        <w:numPr>
          <w:ilvl w:val="0"/>
          <w:numId w:val="0"/>
        </w:numPr>
        <w:rPr>
          <w:rFonts w:hint="default" w:cs="宋体"/>
          <w:b w:val="0"/>
          <w:bCs w:val="0"/>
          <w:lang w:val="en-US" w:eastAsia="zh-CN"/>
        </w:rPr>
      </w:pPr>
      <w:r>
        <w:drawing>
          <wp:inline distT="0" distB="0" distL="114300" distR="114300">
            <wp:extent cx="5568950" cy="2165350"/>
            <wp:effectExtent l="0" t="0" r="6350" b="6350"/>
            <wp:docPr id="8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4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  <w:rPr>
          <w:rFonts w:hint="eastAsia" w:cs="宋体"/>
          <w:lang w:val="en-US" w:eastAsia="zh-CN"/>
        </w:rPr>
      </w:pPr>
      <w:r>
        <w:rPr>
          <w:rFonts w:hint="eastAsia" w:cs="宋体"/>
          <w:lang w:val="en-US" w:eastAsia="zh-CN"/>
        </w:rPr>
        <w:t>中药配方颗粒/中药饮片-议价管理</w:t>
      </w:r>
    </w:p>
    <w:p>
      <w:pPr>
        <w:pStyle w:val="52"/>
        <w:numPr>
          <w:ilvl w:val="0"/>
          <w:numId w:val="14"/>
        </w:numPr>
        <w:ind w:firstLine="422"/>
        <w:rPr>
          <w:rFonts w:hint="default" w:cs="宋体"/>
          <w:b w:val="0"/>
          <w:bCs w:val="0"/>
          <w:lang w:val="en-US" w:eastAsia="zh-CN"/>
        </w:rPr>
      </w:pPr>
      <w:r>
        <w:rPr>
          <w:rFonts w:hint="eastAsia" w:cs="宋体"/>
          <w:b w:val="0"/>
          <w:bCs w:val="0"/>
          <w:lang w:val="en-US" w:eastAsia="zh-CN"/>
        </w:rPr>
        <w:t>待选配数量：点击“待选配数量”不为0的数据，进入选配管理页面；点击数据对应操作栏【选配管理】按钮，弹出设置配送企业输入框，输入对应的配送企业，点击【确认】；</w:t>
      </w:r>
    </w:p>
    <w:p>
      <w:pPr>
        <w:pStyle w:val="25"/>
        <w:jc w:val="both"/>
        <w:rPr>
          <w:rFonts w:hint="default" w:cs="宋体"/>
          <w:lang w:val="en-US" w:eastAsia="zh-CN"/>
        </w:rPr>
      </w:pPr>
    </w:p>
    <w:p>
      <w:pPr>
        <w:pStyle w:val="52"/>
        <w:numPr>
          <w:ilvl w:val="0"/>
          <w:numId w:val="0"/>
        </w:numPr>
      </w:pPr>
      <w:r>
        <w:drawing>
          <wp:inline distT="0" distB="0" distL="114300" distR="114300">
            <wp:extent cx="5577840" cy="2297430"/>
            <wp:effectExtent l="0" t="0" r="10160" b="1270"/>
            <wp:docPr id="8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4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  <w:rPr>
          <w:rFonts w:hint="eastAsia"/>
          <w:lang w:val="en-US" w:eastAsia="zh-CN"/>
        </w:rPr>
      </w:pPr>
      <w:r>
        <w:rPr>
          <w:rFonts w:hint="eastAsia" w:cs="宋体"/>
          <w:lang w:val="en-US" w:eastAsia="zh-CN"/>
        </w:rPr>
        <w:t>中药配方颗粒/中药饮片-选配管理</w:t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注意事项</w:t>
      </w:r>
    </w:p>
    <w:p>
      <w:pPr>
        <w:pStyle w:val="52"/>
        <w:ind w:firstLine="42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*注：</w:t>
      </w:r>
      <w:r>
        <w:rPr>
          <w:rFonts w:hint="eastAsia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无</w:t>
      </w:r>
    </w:p>
    <w:p>
      <w:pPr>
        <w:pStyle w:val="5"/>
        <w:bidi w:val="0"/>
        <w:ind w:left="995" w:leftChars="0" w:hanging="995" w:hangingChars="413"/>
        <w:rPr>
          <w:rFonts w:hint="default"/>
          <w:lang w:val="en-US" w:eastAsia="zh-CN"/>
        </w:rPr>
      </w:pPr>
      <w:bookmarkStart w:id="11" w:name="_Toc28643"/>
      <w:r>
        <w:rPr>
          <w:rFonts w:hint="eastAsia"/>
          <w:lang w:val="en-US" w:eastAsia="zh-CN"/>
        </w:rPr>
        <w:t>配送企业</w:t>
      </w:r>
      <w:bookmarkEnd w:id="11"/>
    </w:p>
    <w:p>
      <w:pPr>
        <w:pStyle w:val="6"/>
        <w:bidi w:val="0"/>
        <w:rPr>
          <w:rFonts w:hint="default"/>
          <w:lang w:val="en-US" w:eastAsia="zh-CN"/>
        </w:rPr>
      </w:pPr>
      <w:bookmarkStart w:id="12" w:name="_Toc19856"/>
      <w:r>
        <w:rPr>
          <w:rFonts w:hint="eastAsia"/>
          <w:lang w:val="en-US" w:eastAsia="zh-CN"/>
        </w:rPr>
        <w:t>议价管理、选配管理</w:t>
      </w:r>
      <w:bookmarkEnd w:id="12"/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功能描述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同意医院的议价、企业的选配；</w:t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操作权限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产品选配操作；</w:t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操作流程</w:t>
      </w:r>
    </w:p>
    <w:p>
      <w:pPr>
        <w:rPr>
          <w:rFonts w:hint="default"/>
          <w:lang w:val="en-US" w:eastAsia="zh-CN"/>
        </w:rPr>
      </w:pPr>
      <w:r>
        <w:rPr>
          <w:rFonts w:hint="eastAsia" w:cs="宋体"/>
          <w:b/>
          <w:bCs/>
          <w:lang w:val="en-US" w:eastAsia="zh-CN"/>
        </w:rPr>
        <w:t>【药品交易结算：项目维护-中药配方颗粒/中药饮片】</w:t>
      </w:r>
    </w:p>
    <w:p>
      <w:pPr>
        <w:pStyle w:val="52"/>
        <w:numPr>
          <w:ilvl w:val="0"/>
          <w:numId w:val="15"/>
        </w:numPr>
        <w:ind w:firstLine="420" w:firstLineChars="200"/>
        <w:rPr>
          <w:rFonts w:hint="eastAsia" w:cs="宋体"/>
          <w:lang w:val="en-US" w:eastAsia="zh-CN"/>
        </w:rPr>
      </w:pPr>
      <w:r>
        <w:rPr>
          <w:rFonts w:hint="eastAsia" w:cs="宋体"/>
          <w:lang w:val="en-US" w:eastAsia="zh-CN"/>
        </w:rPr>
        <w:t>列表：展示企业设置配送企业的数据；可按“流水号”、“产品名称”、“产品编码”等条件查询；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575300" cy="2350135"/>
            <wp:effectExtent l="0" t="0" r="0" b="12065"/>
            <wp:docPr id="8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4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  <w:rPr>
          <w:rFonts w:hint="eastAsia"/>
          <w:lang w:val="en-US" w:eastAsia="zh-CN"/>
        </w:rPr>
      </w:pPr>
      <w:r>
        <w:rPr>
          <w:rFonts w:hint="eastAsia" w:cs="宋体"/>
          <w:lang w:val="en-US" w:eastAsia="zh-CN"/>
        </w:rPr>
        <w:t>中药配方颗粒/中药饮片</w:t>
      </w:r>
    </w:p>
    <w:p>
      <w:pPr>
        <w:pStyle w:val="52"/>
        <w:numPr>
          <w:ilvl w:val="0"/>
          <w:numId w:val="15"/>
        </w:numPr>
        <w:ind w:firstLine="420" w:firstLineChars="200"/>
        <w:rPr>
          <w:rFonts w:hint="eastAsia" w:cs="宋体"/>
          <w:lang w:val="en-US" w:eastAsia="zh-CN"/>
        </w:rPr>
      </w:pPr>
      <w:r>
        <w:rPr>
          <w:rFonts w:hint="eastAsia" w:cs="宋体"/>
          <w:lang w:val="en-US" w:eastAsia="zh-CN"/>
        </w:rPr>
        <w:t>同意：确认产品价格无误后，点击【同意】按钮；</w:t>
      </w:r>
    </w:p>
    <w:p>
      <w:pPr>
        <w:pStyle w:val="52"/>
        <w:numPr>
          <w:ilvl w:val="0"/>
          <w:numId w:val="15"/>
        </w:numPr>
        <w:ind w:firstLine="420" w:firstLineChars="200"/>
        <w:rPr>
          <w:rFonts w:hint="default"/>
          <w:lang w:val="en-US" w:eastAsia="zh-CN"/>
        </w:rPr>
      </w:pPr>
      <w:r>
        <w:rPr>
          <w:rFonts w:hint="eastAsia" w:cs="宋体"/>
          <w:lang w:val="en-US" w:eastAsia="zh-CN"/>
        </w:rPr>
        <w:t>不同意：确认产品价格有误后，点击【不同意】按钮；</w:t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注意事项</w:t>
      </w:r>
    </w:p>
    <w:p>
      <w:pPr>
        <w:pStyle w:val="52"/>
        <w:ind w:firstLine="42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*注：</w:t>
      </w:r>
      <w:r>
        <w:rPr>
          <w:rFonts w:hint="eastAsia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无</w:t>
      </w:r>
    </w:p>
    <w:p>
      <w:pPr>
        <w:pStyle w:val="6"/>
        <w:bidi w:val="0"/>
        <w:rPr>
          <w:rFonts w:hint="default"/>
          <w:lang w:val="en-US" w:eastAsia="zh-CN"/>
        </w:rPr>
      </w:pPr>
      <w:bookmarkStart w:id="13" w:name="_Toc23311"/>
      <w:r>
        <w:rPr>
          <w:rFonts w:hint="eastAsia"/>
          <w:lang w:val="en-US" w:eastAsia="zh-CN"/>
        </w:rPr>
        <w:t>发货退货管理</w:t>
      </w:r>
      <w:bookmarkEnd w:id="13"/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功能描述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发货、退货管理；</w:t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操作权限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发货退货等操作；</w:t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操作流程</w:t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【药品招标管理：发货退货管理-按订单发货】</w:t>
      </w:r>
    </w:p>
    <w:p>
      <w:pPr>
        <w:numPr>
          <w:ilvl w:val="0"/>
          <w:numId w:val="16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列表：列表展示需要发货的订单；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571490" cy="1778635"/>
            <wp:effectExtent l="0" t="0" r="3810" b="12065"/>
            <wp:docPr id="8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4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  <w:rPr>
          <w:rFonts w:hint="eastAsia"/>
          <w:lang w:val="en-US" w:eastAsia="zh-CN"/>
        </w:rPr>
      </w:pPr>
      <w:r>
        <w:rPr>
          <w:rFonts w:hint="eastAsia" w:cs="宋体"/>
          <w:lang w:val="en-US" w:eastAsia="zh-CN"/>
        </w:rPr>
        <w:t>待发货</w:t>
      </w:r>
    </w:p>
    <w:p>
      <w:pPr>
        <w:pStyle w:val="2"/>
        <w:numPr>
          <w:ilvl w:val="0"/>
          <w:numId w:val="16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发货：点击【发货】进入详情页面，填写信息后，点击【确认发货】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575935" cy="2263775"/>
            <wp:effectExtent l="0" t="0" r="12065" b="9525"/>
            <wp:docPr id="8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4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575935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  <w:rPr>
          <w:rFonts w:hint="eastAsia" w:cs="宋体"/>
          <w:lang w:val="en-US" w:eastAsia="zh-CN"/>
        </w:rPr>
      </w:pPr>
      <w:r>
        <w:rPr>
          <w:rFonts w:hint="eastAsia" w:cs="宋体"/>
          <w:lang w:val="en-US" w:eastAsia="zh-CN"/>
        </w:rPr>
        <w:t>待发货-详情页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【药品招标管理：发货退货管理-退货管理】</w:t>
      </w:r>
    </w:p>
    <w:p>
      <w:pPr>
        <w:numPr>
          <w:ilvl w:val="0"/>
          <w:numId w:val="17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列表：列表展示待退货的明细，可以【批量退货】或者【批量退货】；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577840" cy="1684020"/>
            <wp:effectExtent l="0" t="0" r="10160" b="5080"/>
            <wp:docPr id="9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5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  <w:rPr>
          <w:rFonts w:hint="eastAsia"/>
          <w:lang w:val="en-US" w:eastAsia="zh-CN"/>
        </w:rPr>
      </w:pPr>
      <w:r>
        <w:rPr>
          <w:rFonts w:hint="eastAsia" w:cs="宋体"/>
          <w:lang w:val="en-US" w:eastAsia="zh-CN"/>
        </w:rPr>
        <w:t>待确认</w:t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注意事项</w:t>
      </w:r>
    </w:p>
    <w:p>
      <w:pPr>
        <w:pStyle w:val="52"/>
        <w:ind w:firstLine="42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*注：</w:t>
      </w:r>
      <w:r>
        <w:rPr>
          <w:rFonts w:hint="eastAsia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无</w:t>
      </w:r>
    </w:p>
    <w:p>
      <w:pPr>
        <w:pStyle w:val="3"/>
        <w:tabs>
          <w:tab w:val="clear" w:pos="3267"/>
        </w:tabs>
        <w:bidi w:val="0"/>
        <w:ind w:left="2845" w:leftChars="0" w:hanging="2845" w:hangingChars="1012"/>
        <w:rPr>
          <w:rFonts w:hint="default"/>
          <w:lang w:val="en-US" w:eastAsia="zh-CN"/>
        </w:rPr>
      </w:pPr>
      <w:bookmarkStart w:id="14" w:name="_Toc14255"/>
      <w:r>
        <w:rPr>
          <w:rFonts w:hint="eastAsia"/>
          <w:lang w:val="en-US" w:eastAsia="zh-CN"/>
        </w:rPr>
        <w:t>常见问题结果</w:t>
      </w:r>
      <w:bookmarkEnd w:id="14"/>
    </w:p>
    <w:p>
      <w:pPr>
        <w:numPr>
          <w:numId w:val="0"/>
        </w:numPr>
        <w:ind w:firstLine="21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1.集采类中药配方颗粒如何建立配送关系？</w:t>
      </w:r>
    </w:p>
    <w:p>
      <w:pPr>
        <w:numPr>
          <w:numId w:val="0"/>
        </w:numPr>
        <w:ind w:firstLine="211" w:firstLineChars="100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解答：</w:t>
      </w:r>
      <w:r>
        <w:rPr>
          <w:rFonts w:hint="eastAsia"/>
          <w:lang w:val="en-US" w:eastAsia="zh-CN"/>
        </w:rPr>
        <w:t>集采类中药配方颗粒配送关系建立流程：</w:t>
      </w:r>
      <w:r>
        <w:rPr>
          <w:rFonts w:hint="default"/>
          <w:lang w:val="en-US" w:eastAsia="zh-CN"/>
        </w:rPr>
        <w:t>医疗机构遴选中药</w:t>
      </w:r>
      <w:r>
        <w:rPr>
          <w:rFonts w:hint="eastAsia"/>
          <w:lang w:val="en-US" w:eastAsia="zh-CN"/>
        </w:rPr>
        <w:t>配方颗粒</w:t>
      </w:r>
      <w:r>
        <w:rPr>
          <w:rFonts w:hint="default"/>
          <w:lang w:val="en-US" w:eastAsia="zh-CN"/>
        </w:rPr>
        <w:t>目录(添加院内目录)-&gt;医疗机构提交议价(价格默认不可编辑)-&gt;中药</w:t>
      </w:r>
      <w:r>
        <w:rPr>
          <w:rFonts w:hint="eastAsia"/>
          <w:lang w:val="en-US" w:eastAsia="zh-CN"/>
        </w:rPr>
        <w:t>配方颗粒</w:t>
      </w:r>
      <w:r>
        <w:rPr>
          <w:rFonts w:hint="default"/>
          <w:lang w:val="en-US" w:eastAsia="zh-CN"/>
        </w:rPr>
        <w:t>生产企业设置配送企业-&gt;配送企业确认。</w:t>
      </w:r>
    </w:p>
    <w:p>
      <w:pPr>
        <w:tabs>
          <w:tab w:val="left" w:pos="0"/>
        </w:tabs>
        <w:ind w:firstLine="210" w:firstLineChars="100"/>
        <w:rPr>
          <w:rFonts w:cs="宋体"/>
        </w:rPr>
      </w:pPr>
      <w:r>
        <w:rPr>
          <w:rFonts w:hint="eastAsia" w:cs="宋体"/>
          <w:lang w:val="en-US" w:eastAsia="zh-CN"/>
        </w:rPr>
        <w:t>2</w:t>
      </w:r>
      <w:r>
        <w:rPr>
          <w:rFonts w:hint="eastAsia" w:cs="宋体"/>
        </w:rPr>
        <w:t>.配送企业看不到之前操作过的部分产品？</w:t>
      </w:r>
    </w:p>
    <w:p>
      <w:pPr>
        <w:tabs>
          <w:tab w:val="left" w:pos="0"/>
        </w:tabs>
        <w:ind w:firstLine="0" w:firstLineChars="0"/>
        <w:rPr>
          <w:rFonts w:cs="宋体"/>
        </w:rPr>
      </w:pPr>
      <w:r>
        <w:rPr>
          <w:rFonts w:hint="eastAsia" w:cs="宋体"/>
        </w:rPr>
        <w:t xml:space="preserve">  </w:t>
      </w:r>
      <w:r>
        <w:rPr>
          <w:rFonts w:hint="eastAsia" w:cs="宋体"/>
          <w:b/>
          <w:bCs/>
        </w:rPr>
        <w:t>解答：</w:t>
      </w:r>
      <w:r>
        <w:rPr>
          <w:rFonts w:hint="eastAsia" w:cs="宋体"/>
        </w:rPr>
        <w:t>列表展示的数据为，“待配送企业确认配送关系的数据+议价达成且选配达成的数据”。当医疗机构和生产企业重新议价即“议价中”，意味着配送关系的重新调整故而您也无法看到该数据；当您不同意选配，该数据也无法看到。</w:t>
      </w:r>
    </w:p>
    <w:p>
      <w:pPr>
        <w:tabs>
          <w:tab w:val="left" w:pos="0"/>
        </w:tabs>
        <w:ind w:firstLine="210" w:firstLineChars="100"/>
        <w:rPr>
          <w:rFonts w:cs="宋体"/>
        </w:rPr>
      </w:pPr>
      <w:r>
        <w:rPr>
          <w:rFonts w:hint="eastAsia" w:cs="宋体"/>
          <w:lang w:val="en-US" w:eastAsia="zh-CN"/>
        </w:rPr>
        <w:t>3</w:t>
      </w:r>
      <w:r>
        <w:rPr>
          <w:rFonts w:hint="eastAsia" w:cs="宋体"/>
        </w:rPr>
        <w:t>.医院之前采购计划看到过产品A，后面再去看时，发现没有产品A了？</w:t>
      </w:r>
    </w:p>
    <w:p>
      <w:pPr>
        <w:tabs>
          <w:tab w:val="left" w:pos="0"/>
        </w:tabs>
        <w:ind w:firstLine="0" w:firstLineChars="0"/>
        <w:rPr>
          <w:rFonts w:hint="eastAsia" w:cs="宋体"/>
        </w:rPr>
      </w:pPr>
      <w:r>
        <w:rPr>
          <w:rFonts w:hint="eastAsia" w:cs="宋体"/>
        </w:rPr>
        <w:t xml:space="preserve">  </w:t>
      </w:r>
      <w:r>
        <w:rPr>
          <w:rFonts w:hint="eastAsia" w:cs="宋体"/>
          <w:b/>
          <w:bCs/>
        </w:rPr>
        <w:t>解答：</w:t>
      </w:r>
      <w:r>
        <w:rPr>
          <w:rFonts w:hint="eastAsia" w:cs="宋体"/>
        </w:rPr>
        <w:t>采购计划中只会出现有议价和选配已确认完成的产品，若产品重新发起议价和选配了，则采购计划列表就会不显示，直至新一轮议价选配完成。</w:t>
      </w:r>
    </w:p>
    <w:p>
      <w:pPr>
        <w:pStyle w:val="2"/>
        <w:widowControl w:val="0"/>
        <w:numPr>
          <w:numId w:val="0"/>
        </w:numPr>
        <w:spacing w:after="120" w:line="360" w:lineRule="auto"/>
        <w:jc w:val="both"/>
        <w:rPr>
          <w:rFonts w:hint="default"/>
          <w:lang w:val="en-US" w:eastAsia="zh-CN"/>
        </w:rPr>
      </w:pPr>
    </w:p>
    <w:sectPr>
      <w:headerReference r:id="rId12" w:type="default"/>
      <w:footerReference r:id="rId13" w:type="default"/>
      <w:pgSz w:w="11906" w:h="16838"/>
      <w:pgMar w:top="1417" w:right="1417" w:bottom="1417" w:left="1701" w:header="851" w:footer="850" w:gutter="0"/>
      <w:pgNumType w:start="1"/>
      <w:cols w:space="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PingFang SC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firstLine="360"/>
      <w:jc w:val="center"/>
    </w:pPr>
    <w:sdt>
      <w:sdtPr>
        <w:id w:val="1"/>
      </w:sdtPr>
      <w:sdtContent>
        <w:sdt>
          <w:sdtPr>
            <w:id w:val="2"/>
          </w:sdtPr>
          <w:sdtContent/>
        </w:sdt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firstLine="360"/>
      <w:jc w:val="center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1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66C/ssAgAAV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nroL+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sdt>
      <w:sdtPr>
        <w:id w:val="3"/>
      </w:sdtPr>
      <w:sdtContent>
        <w:sdt>
          <w:sdtPr>
            <w:id w:val="4"/>
          </w:sdtPr>
          <w:sdtContent/>
        </w:sdt>
      </w:sdtContent>
    </w:sdt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firstLine="0" w:firstLineChars="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1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页/共 </w:t>
                          </w:r>
                          <w:r>
                            <w:fldChar w:fldCharType="begin"/>
                          </w:r>
                          <w:r>
                            <w:instrText xml:space="preserve"> SECTIONPAGES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cMibgsAgAAV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FwyJu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ind w:firstLine="360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页/共 </w:t>
                    </w:r>
                    <w:r>
                      <w:fldChar w:fldCharType="begin"/>
                    </w:r>
                    <w:r>
                      <w:instrText xml:space="preserve"> SECTIONPAGES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tabs>
        <w:tab w:val="clear" w:pos="4153"/>
      </w:tabs>
      <w:ind w:firstLine="0" w:firstLineChars="0"/>
    </w:pPr>
  </w:p>
  <w:p>
    <w:pPr>
      <w:pStyle w:val="22"/>
      <w:tabs>
        <w:tab w:val="clear" w:pos="4153"/>
      </w:tabs>
      <w:ind w:firstLine="0" w:firstLineChars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ind w:firstLine="0" w:firstLineChars="0"/>
    </w:pPr>
  </w:p>
  <w:p>
    <w:pPr>
      <w:pStyle w:val="22"/>
      <w:ind w:firstLine="0" w:firstLineChars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A39470"/>
    <w:multiLevelType w:val="multilevel"/>
    <w:tmpl w:val="8BA39470"/>
    <w:lvl w:ilvl="0" w:tentative="0">
      <w:start w:val="1"/>
      <w:numFmt w:val="decimal"/>
      <w:pStyle w:val="3"/>
      <w:lvlText w:val="%1."/>
      <w:lvlJc w:val="left"/>
      <w:pPr>
        <w:tabs>
          <w:tab w:val="left" w:pos="3267"/>
        </w:tabs>
        <w:ind w:left="2835" w:firstLine="0"/>
      </w:pPr>
    </w:lvl>
    <w:lvl w:ilvl="1" w:tentative="0">
      <w:start w:val="1"/>
      <w:numFmt w:val="decimal"/>
      <w:pStyle w:val="5"/>
      <w:lvlText w:val="%1.%2"/>
      <w:lvlJc w:val="left"/>
      <w:pPr>
        <w:tabs>
          <w:tab w:val="left" w:pos="1568"/>
        </w:tabs>
        <w:ind w:left="992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4"/>
        <w:szCs w:val="32"/>
        <w:u w:val="none"/>
      </w:rPr>
    </w:lvl>
    <w:lvl w:ilvl="2" w:tentative="0">
      <w:start w:val="1"/>
      <w:numFmt w:val="decimal"/>
      <w:pStyle w:val="6"/>
      <w:suff w:val="space"/>
      <w:lvlText w:val="%1.%2.%3"/>
      <w:lvlJc w:val="left"/>
      <w:pPr>
        <w:tabs>
          <w:tab w:val="left" w:pos="0"/>
        </w:tabs>
        <w:ind w:left="0" w:firstLine="0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4"/>
        <w:u w:val="none"/>
        <w:vertAlign w:val="baseline"/>
        <w14:ligatures w14:val="none"/>
        <w14:numForm w14:val="default"/>
        <w14:numSpacing w14:val="default"/>
      </w:rPr>
    </w:lvl>
    <w:lvl w:ilvl="3" w:tentative="0">
      <w:start w:val="1"/>
      <w:numFmt w:val="decimal"/>
      <w:pStyle w:val="7"/>
      <w:suff w:val="space"/>
      <w:lvlText w:val="%1.%2.%3.%4"/>
      <w:lvlJc w:val="left"/>
      <w:pPr>
        <w:tabs>
          <w:tab w:val="left" w:pos="7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8"/>
        <w:u w:val="none"/>
      </w:rPr>
    </w:lvl>
    <w:lvl w:ilvl="4" w:tentative="0">
      <w:start w:val="1"/>
      <w:numFmt w:val="decimal"/>
      <w:suff w:val="space"/>
      <w:lvlText w:val="%1.%2.%3.%4.%5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8"/>
        <w:u w:val="none"/>
      </w:rPr>
    </w:lvl>
    <w:lvl w:ilvl="5" w:tentative="0">
      <w:start w:val="1"/>
      <w:numFmt w:val="decimal"/>
      <w:suff w:val="space"/>
      <w:lvlText w:val="%1.%2.%3.%4.%5.%6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1"/>
        <w:u w:val="none"/>
        <w:vertAlign w:val="baseline"/>
        <w14:ligatures w14:val="none"/>
        <w14:numForm w14:val="default"/>
        <w14:numSpacing w14:val="default"/>
      </w:rPr>
    </w:lvl>
    <w:lvl w:ilvl="6" w:tentative="0">
      <w:start w:val="1"/>
      <w:numFmt w:val="decimal"/>
      <w:suff w:val="space"/>
      <w:lvlText w:val="%1.%2.%3.%4.%5.%6.%7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color w:val="auto"/>
        <w:spacing w:val="0"/>
        <w:w w:val="100"/>
        <w:position w:val="0"/>
        <w:sz w:val="21"/>
        <w:szCs w:val="24"/>
        <w:u w:val="none"/>
      </w:rPr>
    </w:lvl>
    <w:lvl w:ilvl="7" w:tentative="0">
      <w:start w:val="1"/>
      <w:numFmt w:val="decimal"/>
      <w:suff w:val="space"/>
      <w:lvlText w:val="%1.%2.%3.%4.%5.%6.%7.%8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4"/>
        <w:u w:val="none"/>
      </w:rPr>
    </w:lvl>
    <w:lvl w:ilvl="8" w:tentative="0">
      <w:start w:val="1"/>
      <w:numFmt w:val="decimal"/>
      <w:suff w:val="space"/>
      <w:lvlText w:val="%1.%2.%3.%4.%5.%6.%7.%8.%9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4"/>
        <w:u w:val="none"/>
      </w:rPr>
    </w:lvl>
  </w:abstractNum>
  <w:abstractNum w:abstractNumId="1">
    <w:nsid w:val="8F5EF5DC"/>
    <w:multiLevelType w:val="singleLevel"/>
    <w:tmpl w:val="8F5EF5DC"/>
    <w:lvl w:ilvl="0" w:tentative="0">
      <w:start w:val="1"/>
      <w:numFmt w:val="decimal"/>
      <w:pStyle w:val="8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900B3BC3"/>
    <w:multiLevelType w:val="singleLevel"/>
    <w:tmpl w:val="900B3BC3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9821FFDA"/>
    <w:multiLevelType w:val="singleLevel"/>
    <w:tmpl w:val="9821FFDA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A47EDAE8"/>
    <w:multiLevelType w:val="singleLevel"/>
    <w:tmpl w:val="A47EDAE8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F5B85FA4"/>
    <w:multiLevelType w:val="singleLevel"/>
    <w:tmpl w:val="F5B85FA4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01F82F49"/>
    <w:multiLevelType w:val="multilevel"/>
    <w:tmpl w:val="01F82F49"/>
    <w:lvl w:ilvl="0" w:tentative="0">
      <w:start w:val="1"/>
      <w:numFmt w:val="decimal"/>
      <w:pStyle w:val="56"/>
      <w:suff w:val="space"/>
      <w:lvlText w:val="图%1"/>
      <w:lvlJc w:val="left"/>
      <w:pPr>
        <w:ind w:left="420" w:hanging="420"/>
      </w:pPr>
      <w:rPr>
        <w:rFonts w:hint="eastAsia"/>
        <w:sz w:val="18"/>
        <w:szCs w:val="18"/>
      </w:rPr>
    </w:lvl>
    <w:lvl w:ilvl="1" w:tentative="0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7">
    <w:nsid w:val="02A34C64"/>
    <w:multiLevelType w:val="singleLevel"/>
    <w:tmpl w:val="02A34C64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05974F53"/>
    <w:multiLevelType w:val="singleLevel"/>
    <w:tmpl w:val="05974F53"/>
    <w:lvl w:ilvl="0" w:tentative="0">
      <w:start w:val="1"/>
      <w:numFmt w:val="decimal"/>
      <w:suff w:val="nothing"/>
      <w:lvlText w:val="%1、"/>
      <w:lvlJc w:val="left"/>
    </w:lvl>
  </w:abstractNum>
  <w:abstractNum w:abstractNumId="9">
    <w:nsid w:val="11080EA9"/>
    <w:multiLevelType w:val="singleLevel"/>
    <w:tmpl w:val="11080EA9"/>
    <w:lvl w:ilvl="0" w:tentative="0">
      <w:start w:val="1"/>
      <w:numFmt w:val="decimal"/>
      <w:suff w:val="nothing"/>
      <w:lvlText w:val="%1、"/>
      <w:lvlJc w:val="left"/>
    </w:lvl>
  </w:abstractNum>
  <w:abstractNum w:abstractNumId="10">
    <w:nsid w:val="1BCE7768"/>
    <w:multiLevelType w:val="multilevel"/>
    <w:tmpl w:val="1BCE7768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0" w:firstLine="0"/>
      </w:pPr>
      <w:rPr>
        <w:rFonts w:hint="eastAsia"/>
        <w:color w:val="auto"/>
      </w:rPr>
    </w:lvl>
    <w:lvl w:ilvl="1" w:tentative="0">
      <w:start w:val="1"/>
      <w:numFmt w:val="decimal"/>
      <w:pStyle w:val="55"/>
      <w:lvlText w:val="%1.%2"/>
      <w:lvlJc w:val="left"/>
      <w:pPr>
        <w:tabs>
          <w:tab w:val="left" w:pos="432"/>
        </w:tabs>
        <w:ind w:left="0" w:firstLine="0"/>
      </w:pPr>
      <w:rPr>
        <w:rFonts w:hint="eastAsia" w:ascii="黑体" w:hAnsi="黑体" w:eastAsia="黑体"/>
        <w:b w:val="0"/>
        <w:lang w:val="en-US"/>
      </w:rPr>
    </w:lvl>
    <w:lvl w:ilvl="2" w:tentative="0">
      <w:start w:val="1"/>
      <w:numFmt w:val="decimal"/>
      <w:lvlText w:val="%1.%2.%3"/>
      <w:lvlJc w:val="left"/>
      <w:pPr>
        <w:tabs>
          <w:tab w:val="left" w:pos="432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lvlText w:val="%1.%2.%3.%4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32"/>
        </w:tabs>
        <w:ind w:left="0" w:firstLine="0"/>
      </w:pPr>
      <w:rPr>
        <w:rFonts w:hint="eastAsia"/>
      </w:rPr>
    </w:lvl>
  </w:abstractNum>
  <w:abstractNum w:abstractNumId="11">
    <w:nsid w:val="1C7FA14B"/>
    <w:multiLevelType w:val="singleLevel"/>
    <w:tmpl w:val="1C7FA14B"/>
    <w:lvl w:ilvl="0" w:tentative="0">
      <w:start w:val="1"/>
      <w:numFmt w:val="decimal"/>
      <w:suff w:val="nothing"/>
      <w:lvlText w:val="%1、"/>
      <w:lvlJc w:val="left"/>
    </w:lvl>
  </w:abstractNum>
  <w:abstractNum w:abstractNumId="12">
    <w:nsid w:val="35B2BE30"/>
    <w:multiLevelType w:val="singleLevel"/>
    <w:tmpl w:val="35B2BE30"/>
    <w:lvl w:ilvl="0" w:tentative="0">
      <w:start w:val="1"/>
      <w:numFmt w:val="decimal"/>
      <w:suff w:val="nothing"/>
      <w:lvlText w:val="%1、"/>
      <w:lvlJc w:val="left"/>
      <w:rPr>
        <w:rFonts w:hint="default"/>
        <w:color w:val="auto"/>
      </w:rPr>
    </w:lvl>
  </w:abstractNum>
  <w:abstractNum w:abstractNumId="13">
    <w:nsid w:val="41C29FA8"/>
    <w:multiLevelType w:val="singleLevel"/>
    <w:tmpl w:val="41C29FA8"/>
    <w:lvl w:ilvl="0" w:tentative="0">
      <w:start w:val="1"/>
      <w:numFmt w:val="decimal"/>
      <w:suff w:val="nothing"/>
      <w:lvlText w:val="%1、"/>
      <w:lvlJc w:val="left"/>
    </w:lvl>
  </w:abstractNum>
  <w:abstractNum w:abstractNumId="14">
    <w:nsid w:val="47C90538"/>
    <w:multiLevelType w:val="singleLevel"/>
    <w:tmpl w:val="47C90538"/>
    <w:lvl w:ilvl="0" w:tentative="0">
      <w:start w:val="1"/>
      <w:numFmt w:val="decimal"/>
      <w:suff w:val="nothing"/>
      <w:lvlText w:val="%1、"/>
      <w:lvlJc w:val="left"/>
    </w:lvl>
  </w:abstractNum>
  <w:abstractNum w:abstractNumId="15">
    <w:nsid w:val="60FB2289"/>
    <w:multiLevelType w:val="singleLevel"/>
    <w:tmpl w:val="60FB2289"/>
    <w:lvl w:ilvl="0" w:tentative="0">
      <w:start w:val="1"/>
      <w:numFmt w:val="decimal"/>
      <w:suff w:val="nothing"/>
      <w:lvlText w:val="%1、"/>
      <w:lvlJc w:val="left"/>
    </w:lvl>
  </w:abstractNum>
  <w:abstractNum w:abstractNumId="16">
    <w:nsid w:val="6CD414E6"/>
    <w:multiLevelType w:val="multilevel"/>
    <w:tmpl w:val="6CD414E6"/>
    <w:lvl w:ilvl="0" w:tentative="0">
      <w:start w:val="1"/>
      <w:numFmt w:val="decimal"/>
      <w:lvlText w:val="第%1章"/>
      <w:lvlJc w:val="left"/>
      <w:pPr>
        <w:tabs>
          <w:tab w:val="left" w:pos="432"/>
        </w:tabs>
        <w:ind w:left="0" w:firstLine="0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ligatures w14:val="none"/>
        <w14:numForm w14:val="default"/>
        <w14:numSpacing w14:val="default"/>
      </w:r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4"/>
        <w:szCs w:val="32"/>
        <w:u w:val="none"/>
      </w:rPr>
    </w:lvl>
    <w:lvl w:ilvl="2" w:tentative="0">
      <w:start w:val="1"/>
      <w:numFmt w:val="decimal"/>
      <w:suff w:val="space"/>
      <w:lvlText w:val="%1.%2.%3"/>
      <w:lvlJc w:val="left"/>
      <w:pPr>
        <w:tabs>
          <w:tab w:val="left" w:pos="578"/>
        </w:tabs>
        <w:ind w:left="0" w:firstLine="0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ligatures w14:val="none"/>
        <w14:numForm w14:val="default"/>
        <w14:numSpacing w14:val="default"/>
      </w:rPr>
    </w:lvl>
    <w:lvl w:ilvl="3" w:tentative="0">
      <w:start w:val="1"/>
      <w:numFmt w:val="decimal"/>
      <w:suff w:val="space"/>
      <w:lvlText w:val="%1.%2.%3.%4"/>
      <w:lvlJc w:val="left"/>
      <w:pPr>
        <w:tabs>
          <w:tab w:val="left" w:pos="7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8"/>
        <w:u w:val="none"/>
      </w:rPr>
    </w:lvl>
    <w:lvl w:ilvl="4" w:tentative="0">
      <w:start w:val="1"/>
      <w:numFmt w:val="decimal"/>
      <w:suff w:val="space"/>
      <w:lvlText w:val="%1.%2.%3.%4.%5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8"/>
        <w:u w:val="none"/>
      </w:rPr>
    </w:lvl>
    <w:lvl w:ilvl="5" w:tentative="0">
      <w:start w:val="1"/>
      <w:numFmt w:val="decimal"/>
      <w:suff w:val="space"/>
      <w:lvlText w:val="%1.%2.%3.%4.%5.%6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1"/>
        <w:u w:val="none"/>
        <w:vertAlign w:val="baseline"/>
        <w14:shadow w14:blurRad="0" w14:dist="0" w14:dir="0" w14:sx="0" w14:sy="0" w14:kx="0" w14:ky="0" w14:algn="none">
          <w14:srgbClr w14:val="000000"/>
        </w14:shadow>
        <w14:ligatures w14:val="none"/>
        <w14:numForm w14:val="default"/>
        <w14:numSpacing w14:val="default"/>
      </w:rPr>
    </w:lvl>
    <w:lvl w:ilvl="6" w:tentative="0">
      <w:start w:val="1"/>
      <w:numFmt w:val="decimal"/>
      <w:pStyle w:val="10"/>
      <w:suff w:val="space"/>
      <w:lvlText w:val="%1.%2.%3.%4.%5.%6.%7"/>
      <w:lvlJc w:val="left"/>
      <w:pPr>
        <w:tabs>
          <w:tab w:val="left" w:pos="0"/>
        </w:tabs>
        <w:ind w:left="0" w:firstLine="0"/>
      </w:pPr>
      <w:rPr>
        <w:rFonts w:hint="default" w:ascii="宋体" w:hAnsi="宋体" w:eastAsia="宋体" w:cs="宋体"/>
        <w:b/>
        <w:i w:val="0"/>
        <w:color w:val="auto"/>
        <w:spacing w:val="0"/>
        <w:w w:val="100"/>
        <w:position w:val="0"/>
        <w:sz w:val="21"/>
        <w:szCs w:val="24"/>
        <w:u w:val="none"/>
      </w:rPr>
    </w:lvl>
    <w:lvl w:ilvl="7" w:tentative="0">
      <w:start w:val="1"/>
      <w:numFmt w:val="decimal"/>
      <w:pStyle w:val="11"/>
      <w:suff w:val="space"/>
      <w:lvlText w:val="%1.%2.%3.%4.%5.%6.%7.%8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4"/>
        <w:u w:val="none"/>
      </w:rPr>
    </w:lvl>
    <w:lvl w:ilvl="8" w:tentative="0">
      <w:start w:val="1"/>
      <w:numFmt w:val="decimal"/>
      <w:pStyle w:val="12"/>
      <w:suff w:val="space"/>
      <w:lvlText w:val="%1.%2.%3.%4.%5.%6.%7.%8.%9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4"/>
        <w:u w:val="none"/>
      </w:rPr>
    </w:lvl>
  </w:abstractNum>
  <w:num w:numId="1">
    <w:abstractNumId w:val="0"/>
  </w:num>
  <w:num w:numId="2">
    <w:abstractNumId w:val="1"/>
  </w:num>
  <w:num w:numId="3">
    <w:abstractNumId w:val="16"/>
  </w:num>
  <w:num w:numId="4">
    <w:abstractNumId w:val="10"/>
  </w:num>
  <w:num w:numId="5">
    <w:abstractNumId w:val="6"/>
  </w:num>
  <w:num w:numId="6">
    <w:abstractNumId w:val="9"/>
  </w:num>
  <w:num w:numId="7">
    <w:abstractNumId w:val="14"/>
  </w:num>
  <w:num w:numId="8">
    <w:abstractNumId w:val="2"/>
  </w:num>
  <w:num w:numId="9">
    <w:abstractNumId w:val="11"/>
  </w:num>
  <w:num w:numId="10">
    <w:abstractNumId w:val="4"/>
  </w:num>
  <w:num w:numId="11">
    <w:abstractNumId w:val="13"/>
  </w:num>
  <w:num w:numId="12">
    <w:abstractNumId w:val="15"/>
  </w:num>
  <w:num w:numId="13">
    <w:abstractNumId w:val="3"/>
  </w:num>
  <w:num w:numId="14">
    <w:abstractNumId w:val="7"/>
  </w:num>
  <w:num w:numId="15">
    <w:abstractNumId w:val="12"/>
  </w:num>
  <w:num w:numId="16">
    <w:abstractNumId w:val="8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NlMjA3M2M2ZjFlOWZkMWYxOTk3NWZjMDFmNTI0MmQifQ=="/>
  </w:docVars>
  <w:rsids>
    <w:rsidRoot w:val="005E6D95"/>
    <w:rsid w:val="000000C5"/>
    <w:rsid w:val="000161C5"/>
    <w:rsid w:val="000214A3"/>
    <w:rsid w:val="000218A7"/>
    <w:rsid w:val="000321CC"/>
    <w:rsid w:val="00032E35"/>
    <w:rsid w:val="0003316E"/>
    <w:rsid w:val="00033CC6"/>
    <w:rsid w:val="00042A4B"/>
    <w:rsid w:val="00061AEB"/>
    <w:rsid w:val="00070D29"/>
    <w:rsid w:val="0008003D"/>
    <w:rsid w:val="000823C4"/>
    <w:rsid w:val="000853E0"/>
    <w:rsid w:val="000878E1"/>
    <w:rsid w:val="000921CD"/>
    <w:rsid w:val="0009595B"/>
    <w:rsid w:val="00096D4D"/>
    <w:rsid w:val="000C63C3"/>
    <w:rsid w:val="000C6E71"/>
    <w:rsid w:val="000D1CF5"/>
    <w:rsid w:val="000D5DFC"/>
    <w:rsid w:val="000E18CF"/>
    <w:rsid w:val="000E316E"/>
    <w:rsid w:val="000F3B84"/>
    <w:rsid w:val="000F54EE"/>
    <w:rsid w:val="000F64A5"/>
    <w:rsid w:val="00103C51"/>
    <w:rsid w:val="0010567B"/>
    <w:rsid w:val="00111CFF"/>
    <w:rsid w:val="00120E3F"/>
    <w:rsid w:val="00121863"/>
    <w:rsid w:val="00131E27"/>
    <w:rsid w:val="00132280"/>
    <w:rsid w:val="00134FEE"/>
    <w:rsid w:val="00143F2D"/>
    <w:rsid w:val="00144F73"/>
    <w:rsid w:val="00151BFE"/>
    <w:rsid w:val="00153127"/>
    <w:rsid w:val="00154185"/>
    <w:rsid w:val="00156085"/>
    <w:rsid w:val="00167907"/>
    <w:rsid w:val="00173490"/>
    <w:rsid w:val="0019578A"/>
    <w:rsid w:val="00195F31"/>
    <w:rsid w:val="001A020C"/>
    <w:rsid w:val="001A2F93"/>
    <w:rsid w:val="001A7E2A"/>
    <w:rsid w:val="001B2847"/>
    <w:rsid w:val="001D15FC"/>
    <w:rsid w:val="001D3149"/>
    <w:rsid w:val="001D6C4F"/>
    <w:rsid w:val="001E7F46"/>
    <w:rsid w:val="001F0CB8"/>
    <w:rsid w:val="001F4B31"/>
    <w:rsid w:val="0020051D"/>
    <w:rsid w:val="0021032A"/>
    <w:rsid w:val="00212157"/>
    <w:rsid w:val="00212D8F"/>
    <w:rsid w:val="0021526F"/>
    <w:rsid w:val="00221F0B"/>
    <w:rsid w:val="0022312D"/>
    <w:rsid w:val="00230A4B"/>
    <w:rsid w:val="00230B02"/>
    <w:rsid w:val="00247D6D"/>
    <w:rsid w:val="00250D31"/>
    <w:rsid w:val="00252CD2"/>
    <w:rsid w:val="00253AED"/>
    <w:rsid w:val="00270202"/>
    <w:rsid w:val="00273923"/>
    <w:rsid w:val="00275909"/>
    <w:rsid w:val="00285768"/>
    <w:rsid w:val="002947D0"/>
    <w:rsid w:val="00295A5B"/>
    <w:rsid w:val="002A574B"/>
    <w:rsid w:val="002B6C65"/>
    <w:rsid w:val="002C10D5"/>
    <w:rsid w:val="002D48A0"/>
    <w:rsid w:val="002E18CF"/>
    <w:rsid w:val="002E18F2"/>
    <w:rsid w:val="00320202"/>
    <w:rsid w:val="003212E5"/>
    <w:rsid w:val="00324582"/>
    <w:rsid w:val="00325122"/>
    <w:rsid w:val="003263A4"/>
    <w:rsid w:val="00337E96"/>
    <w:rsid w:val="00341A1D"/>
    <w:rsid w:val="0034546B"/>
    <w:rsid w:val="003471D2"/>
    <w:rsid w:val="003500DB"/>
    <w:rsid w:val="00351DD9"/>
    <w:rsid w:val="00363536"/>
    <w:rsid w:val="00366878"/>
    <w:rsid w:val="003757BC"/>
    <w:rsid w:val="003851AD"/>
    <w:rsid w:val="00392E7B"/>
    <w:rsid w:val="003A09A0"/>
    <w:rsid w:val="003C0CAE"/>
    <w:rsid w:val="003C26F7"/>
    <w:rsid w:val="003D2D92"/>
    <w:rsid w:val="003D51F8"/>
    <w:rsid w:val="003E1642"/>
    <w:rsid w:val="003E19BF"/>
    <w:rsid w:val="003F0590"/>
    <w:rsid w:val="003F5639"/>
    <w:rsid w:val="003F7836"/>
    <w:rsid w:val="00400530"/>
    <w:rsid w:val="00406554"/>
    <w:rsid w:val="00407F47"/>
    <w:rsid w:val="00410189"/>
    <w:rsid w:val="00413A06"/>
    <w:rsid w:val="00414629"/>
    <w:rsid w:val="004202E6"/>
    <w:rsid w:val="00431232"/>
    <w:rsid w:val="00457596"/>
    <w:rsid w:val="004577A0"/>
    <w:rsid w:val="00467163"/>
    <w:rsid w:val="00470C09"/>
    <w:rsid w:val="00487D1B"/>
    <w:rsid w:val="00490F81"/>
    <w:rsid w:val="004910A7"/>
    <w:rsid w:val="00492CA2"/>
    <w:rsid w:val="00493C6C"/>
    <w:rsid w:val="004A108E"/>
    <w:rsid w:val="004A65F6"/>
    <w:rsid w:val="004B4EEA"/>
    <w:rsid w:val="004B7E90"/>
    <w:rsid w:val="004C03B8"/>
    <w:rsid w:val="004C34F5"/>
    <w:rsid w:val="004C5234"/>
    <w:rsid w:val="004C5725"/>
    <w:rsid w:val="004E3744"/>
    <w:rsid w:val="004F6012"/>
    <w:rsid w:val="004F72DA"/>
    <w:rsid w:val="00510397"/>
    <w:rsid w:val="00514045"/>
    <w:rsid w:val="0051411B"/>
    <w:rsid w:val="00514296"/>
    <w:rsid w:val="0051607D"/>
    <w:rsid w:val="00524105"/>
    <w:rsid w:val="00526672"/>
    <w:rsid w:val="005300AF"/>
    <w:rsid w:val="005536E2"/>
    <w:rsid w:val="005754F0"/>
    <w:rsid w:val="00577A43"/>
    <w:rsid w:val="00586C12"/>
    <w:rsid w:val="00586F8D"/>
    <w:rsid w:val="0058732E"/>
    <w:rsid w:val="00587763"/>
    <w:rsid w:val="00593576"/>
    <w:rsid w:val="005A688B"/>
    <w:rsid w:val="005C08CD"/>
    <w:rsid w:val="005C5332"/>
    <w:rsid w:val="005E1C9E"/>
    <w:rsid w:val="005E6BBA"/>
    <w:rsid w:val="005E6D95"/>
    <w:rsid w:val="005F4987"/>
    <w:rsid w:val="006048D5"/>
    <w:rsid w:val="00621C54"/>
    <w:rsid w:val="00621ED8"/>
    <w:rsid w:val="00637774"/>
    <w:rsid w:val="006426EC"/>
    <w:rsid w:val="00645A0D"/>
    <w:rsid w:val="00652A0C"/>
    <w:rsid w:val="00655D1C"/>
    <w:rsid w:val="00656918"/>
    <w:rsid w:val="006571DC"/>
    <w:rsid w:val="00664F99"/>
    <w:rsid w:val="00667B59"/>
    <w:rsid w:val="00685535"/>
    <w:rsid w:val="00694752"/>
    <w:rsid w:val="006A3667"/>
    <w:rsid w:val="006A5688"/>
    <w:rsid w:val="006B23FF"/>
    <w:rsid w:val="006B332A"/>
    <w:rsid w:val="006B3E18"/>
    <w:rsid w:val="006D1DC1"/>
    <w:rsid w:val="006D4F04"/>
    <w:rsid w:val="006D7A97"/>
    <w:rsid w:val="006F39D7"/>
    <w:rsid w:val="006F3ACE"/>
    <w:rsid w:val="0071127D"/>
    <w:rsid w:val="00721CF2"/>
    <w:rsid w:val="00723D97"/>
    <w:rsid w:val="00724F4E"/>
    <w:rsid w:val="00732233"/>
    <w:rsid w:val="0073506F"/>
    <w:rsid w:val="00735820"/>
    <w:rsid w:val="007423C4"/>
    <w:rsid w:val="00745781"/>
    <w:rsid w:val="00752074"/>
    <w:rsid w:val="00760FE9"/>
    <w:rsid w:val="007664FB"/>
    <w:rsid w:val="00775C34"/>
    <w:rsid w:val="00780849"/>
    <w:rsid w:val="00784B5E"/>
    <w:rsid w:val="00786AE9"/>
    <w:rsid w:val="007A3FA7"/>
    <w:rsid w:val="007D377F"/>
    <w:rsid w:val="007E0A14"/>
    <w:rsid w:val="007E4656"/>
    <w:rsid w:val="007F1283"/>
    <w:rsid w:val="007F12C8"/>
    <w:rsid w:val="00803081"/>
    <w:rsid w:val="00803D40"/>
    <w:rsid w:val="00805B51"/>
    <w:rsid w:val="0080642D"/>
    <w:rsid w:val="00806B8A"/>
    <w:rsid w:val="00810A95"/>
    <w:rsid w:val="0082438F"/>
    <w:rsid w:val="00824FE8"/>
    <w:rsid w:val="00833133"/>
    <w:rsid w:val="008351FD"/>
    <w:rsid w:val="0083574E"/>
    <w:rsid w:val="00842130"/>
    <w:rsid w:val="00842422"/>
    <w:rsid w:val="00842A0F"/>
    <w:rsid w:val="0085284B"/>
    <w:rsid w:val="00854C38"/>
    <w:rsid w:val="00856D87"/>
    <w:rsid w:val="00864E74"/>
    <w:rsid w:val="00883BE4"/>
    <w:rsid w:val="008A0445"/>
    <w:rsid w:val="008A7090"/>
    <w:rsid w:val="008B3793"/>
    <w:rsid w:val="008B4EF0"/>
    <w:rsid w:val="008B4F6F"/>
    <w:rsid w:val="008C0A70"/>
    <w:rsid w:val="008C0E74"/>
    <w:rsid w:val="008C287B"/>
    <w:rsid w:val="008C2D96"/>
    <w:rsid w:val="008C46C4"/>
    <w:rsid w:val="008C5D8E"/>
    <w:rsid w:val="008D411D"/>
    <w:rsid w:val="008D759E"/>
    <w:rsid w:val="008F0D45"/>
    <w:rsid w:val="008F49CB"/>
    <w:rsid w:val="00900FBA"/>
    <w:rsid w:val="0090295D"/>
    <w:rsid w:val="009331DB"/>
    <w:rsid w:val="00934D01"/>
    <w:rsid w:val="00944D43"/>
    <w:rsid w:val="00946C39"/>
    <w:rsid w:val="00950D59"/>
    <w:rsid w:val="00951778"/>
    <w:rsid w:val="00952C1F"/>
    <w:rsid w:val="009547F5"/>
    <w:rsid w:val="00960E3E"/>
    <w:rsid w:val="0096330D"/>
    <w:rsid w:val="00974470"/>
    <w:rsid w:val="0098797D"/>
    <w:rsid w:val="00990D67"/>
    <w:rsid w:val="00991448"/>
    <w:rsid w:val="00993D75"/>
    <w:rsid w:val="009A092D"/>
    <w:rsid w:val="009A0C83"/>
    <w:rsid w:val="009A1128"/>
    <w:rsid w:val="009A2342"/>
    <w:rsid w:val="009A571B"/>
    <w:rsid w:val="009A7CD2"/>
    <w:rsid w:val="009B6E34"/>
    <w:rsid w:val="009C0811"/>
    <w:rsid w:val="009C4A84"/>
    <w:rsid w:val="009C6DAC"/>
    <w:rsid w:val="009F0696"/>
    <w:rsid w:val="009F3A95"/>
    <w:rsid w:val="00A04CE6"/>
    <w:rsid w:val="00A17DB0"/>
    <w:rsid w:val="00A20446"/>
    <w:rsid w:val="00A20B4C"/>
    <w:rsid w:val="00A20D68"/>
    <w:rsid w:val="00A21BFF"/>
    <w:rsid w:val="00A21CC0"/>
    <w:rsid w:val="00A3303C"/>
    <w:rsid w:val="00A44B47"/>
    <w:rsid w:val="00A54959"/>
    <w:rsid w:val="00A71F96"/>
    <w:rsid w:val="00A757E7"/>
    <w:rsid w:val="00A76C58"/>
    <w:rsid w:val="00A77141"/>
    <w:rsid w:val="00AA1E95"/>
    <w:rsid w:val="00AA555F"/>
    <w:rsid w:val="00AA6AED"/>
    <w:rsid w:val="00AA7068"/>
    <w:rsid w:val="00AC072E"/>
    <w:rsid w:val="00AD1352"/>
    <w:rsid w:val="00AE449B"/>
    <w:rsid w:val="00AE544C"/>
    <w:rsid w:val="00B0168E"/>
    <w:rsid w:val="00B120C3"/>
    <w:rsid w:val="00B12962"/>
    <w:rsid w:val="00B14A68"/>
    <w:rsid w:val="00B23C39"/>
    <w:rsid w:val="00B45A5D"/>
    <w:rsid w:val="00B45B97"/>
    <w:rsid w:val="00B501AB"/>
    <w:rsid w:val="00B57D54"/>
    <w:rsid w:val="00B60840"/>
    <w:rsid w:val="00B62877"/>
    <w:rsid w:val="00B64570"/>
    <w:rsid w:val="00B64757"/>
    <w:rsid w:val="00B64DFC"/>
    <w:rsid w:val="00B71D0F"/>
    <w:rsid w:val="00B72B9C"/>
    <w:rsid w:val="00B76EA9"/>
    <w:rsid w:val="00B819F6"/>
    <w:rsid w:val="00B9162F"/>
    <w:rsid w:val="00B975AA"/>
    <w:rsid w:val="00BA2333"/>
    <w:rsid w:val="00BB5AB0"/>
    <w:rsid w:val="00BC06E0"/>
    <w:rsid w:val="00BC31B4"/>
    <w:rsid w:val="00BC3C87"/>
    <w:rsid w:val="00BD2BAE"/>
    <w:rsid w:val="00BD4E3F"/>
    <w:rsid w:val="00BD6C31"/>
    <w:rsid w:val="00C0397F"/>
    <w:rsid w:val="00C10DA1"/>
    <w:rsid w:val="00C1311F"/>
    <w:rsid w:val="00C1378E"/>
    <w:rsid w:val="00C32B4E"/>
    <w:rsid w:val="00C40372"/>
    <w:rsid w:val="00C40A0A"/>
    <w:rsid w:val="00C53FCA"/>
    <w:rsid w:val="00C643E2"/>
    <w:rsid w:val="00C73761"/>
    <w:rsid w:val="00C76337"/>
    <w:rsid w:val="00C80BEE"/>
    <w:rsid w:val="00C86FC7"/>
    <w:rsid w:val="00C924DD"/>
    <w:rsid w:val="00C9290B"/>
    <w:rsid w:val="00CA0382"/>
    <w:rsid w:val="00CA04B1"/>
    <w:rsid w:val="00CA5FC9"/>
    <w:rsid w:val="00CA67B9"/>
    <w:rsid w:val="00CA6C0F"/>
    <w:rsid w:val="00CB76F2"/>
    <w:rsid w:val="00CB7B29"/>
    <w:rsid w:val="00CC2857"/>
    <w:rsid w:val="00CC5297"/>
    <w:rsid w:val="00CC6C05"/>
    <w:rsid w:val="00CC7A4C"/>
    <w:rsid w:val="00CE4F3F"/>
    <w:rsid w:val="00CE6412"/>
    <w:rsid w:val="00D04CFA"/>
    <w:rsid w:val="00D06CE0"/>
    <w:rsid w:val="00D11C10"/>
    <w:rsid w:val="00D23EF2"/>
    <w:rsid w:val="00D306E1"/>
    <w:rsid w:val="00D373D1"/>
    <w:rsid w:val="00D408CD"/>
    <w:rsid w:val="00D41B86"/>
    <w:rsid w:val="00D438C2"/>
    <w:rsid w:val="00D47217"/>
    <w:rsid w:val="00D478DE"/>
    <w:rsid w:val="00D5470A"/>
    <w:rsid w:val="00D60B68"/>
    <w:rsid w:val="00D76886"/>
    <w:rsid w:val="00D774CC"/>
    <w:rsid w:val="00D953B7"/>
    <w:rsid w:val="00DB1691"/>
    <w:rsid w:val="00DB5B84"/>
    <w:rsid w:val="00DB7326"/>
    <w:rsid w:val="00DC2360"/>
    <w:rsid w:val="00DD08FF"/>
    <w:rsid w:val="00DD1C85"/>
    <w:rsid w:val="00DD368C"/>
    <w:rsid w:val="00DE0D93"/>
    <w:rsid w:val="00DE38C1"/>
    <w:rsid w:val="00DE6701"/>
    <w:rsid w:val="00DE6D5E"/>
    <w:rsid w:val="00DF42F0"/>
    <w:rsid w:val="00DF6853"/>
    <w:rsid w:val="00E163A3"/>
    <w:rsid w:val="00E20209"/>
    <w:rsid w:val="00E25AE6"/>
    <w:rsid w:val="00E277D8"/>
    <w:rsid w:val="00E35BC2"/>
    <w:rsid w:val="00E40DB0"/>
    <w:rsid w:val="00E429C6"/>
    <w:rsid w:val="00E53F42"/>
    <w:rsid w:val="00E54C93"/>
    <w:rsid w:val="00E56281"/>
    <w:rsid w:val="00E56E8E"/>
    <w:rsid w:val="00E72ADE"/>
    <w:rsid w:val="00E82513"/>
    <w:rsid w:val="00E86716"/>
    <w:rsid w:val="00EA064C"/>
    <w:rsid w:val="00EA59F6"/>
    <w:rsid w:val="00EC2615"/>
    <w:rsid w:val="00ED674A"/>
    <w:rsid w:val="00EE1927"/>
    <w:rsid w:val="00EF5A4F"/>
    <w:rsid w:val="00F11651"/>
    <w:rsid w:val="00F158E9"/>
    <w:rsid w:val="00F173C4"/>
    <w:rsid w:val="00F230E1"/>
    <w:rsid w:val="00F45049"/>
    <w:rsid w:val="00F45BD9"/>
    <w:rsid w:val="00F504FF"/>
    <w:rsid w:val="00F52B29"/>
    <w:rsid w:val="00F5437A"/>
    <w:rsid w:val="00F603B2"/>
    <w:rsid w:val="00F609A8"/>
    <w:rsid w:val="00F60B86"/>
    <w:rsid w:val="00F639F5"/>
    <w:rsid w:val="00F64180"/>
    <w:rsid w:val="00F72F5A"/>
    <w:rsid w:val="00F750D4"/>
    <w:rsid w:val="00F7722F"/>
    <w:rsid w:val="00F94CE0"/>
    <w:rsid w:val="00FA23FE"/>
    <w:rsid w:val="00FA7FEF"/>
    <w:rsid w:val="00FC20A7"/>
    <w:rsid w:val="00FC27F9"/>
    <w:rsid w:val="00FC2F43"/>
    <w:rsid w:val="00FC58C3"/>
    <w:rsid w:val="00FE0F9D"/>
    <w:rsid w:val="00FE2108"/>
    <w:rsid w:val="012F3A7F"/>
    <w:rsid w:val="01B3017A"/>
    <w:rsid w:val="02394781"/>
    <w:rsid w:val="03351F2E"/>
    <w:rsid w:val="03A467F3"/>
    <w:rsid w:val="03A9596E"/>
    <w:rsid w:val="03B420C9"/>
    <w:rsid w:val="042325CE"/>
    <w:rsid w:val="04477859"/>
    <w:rsid w:val="04BD3170"/>
    <w:rsid w:val="04E2725D"/>
    <w:rsid w:val="05006E12"/>
    <w:rsid w:val="06852909"/>
    <w:rsid w:val="06E81E0E"/>
    <w:rsid w:val="06FF62ED"/>
    <w:rsid w:val="07A1136F"/>
    <w:rsid w:val="07C00A58"/>
    <w:rsid w:val="07CA39B5"/>
    <w:rsid w:val="07D53519"/>
    <w:rsid w:val="07DB67FB"/>
    <w:rsid w:val="08AF2D38"/>
    <w:rsid w:val="09813BAE"/>
    <w:rsid w:val="099B68C7"/>
    <w:rsid w:val="09B04F53"/>
    <w:rsid w:val="09CD6ADE"/>
    <w:rsid w:val="0A227D10"/>
    <w:rsid w:val="0A623B09"/>
    <w:rsid w:val="0AE72D17"/>
    <w:rsid w:val="0AF03CFB"/>
    <w:rsid w:val="0AF769D2"/>
    <w:rsid w:val="0B2D14AE"/>
    <w:rsid w:val="0B3501C0"/>
    <w:rsid w:val="0B4D72ED"/>
    <w:rsid w:val="0B792C38"/>
    <w:rsid w:val="0BC32F55"/>
    <w:rsid w:val="0C24583E"/>
    <w:rsid w:val="0C286CAD"/>
    <w:rsid w:val="0C475158"/>
    <w:rsid w:val="0C58456B"/>
    <w:rsid w:val="0C7451AE"/>
    <w:rsid w:val="0CC92C66"/>
    <w:rsid w:val="0CF228F1"/>
    <w:rsid w:val="0D0417A2"/>
    <w:rsid w:val="0D064AFD"/>
    <w:rsid w:val="0D0C310F"/>
    <w:rsid w:val="0D127EE3"/>
    <w:rsid w:val="0D3E1EC0"/>
    <w:rsid w:val="0DDE36FD"/>
    <w:rsid w:val="0DE819AF"/>
    <w:rsid w:val="0E5059E2"/>
    <w:rsid w:val="0E786196"/>
    <w:rsid w:val="0E7C0AF8"/>
    <w:rsid w:val="0EAC758F"/>
    <w:rsid w:val="0EB365EC"/>
    <w:rsid w:val="0ED171CA"/>
    <w:rsid w:val="0EE53FB5"/>
    <w:rsid w:val="0EF30AB0"/>
    <w:rsid w:val="0F9A267E"/>
    <w:rsid w:val="0FC01599"/>
    <w:rsid w:val="0FE41660"/>
    <w:rsid w:val="0FE46009"/>
    <w:rsid w:val="0FF47A20"/>
    <w:rsid w:val="10694F37"/>
    <w:rsid w:val="1079110B"/>
    <w:rsid w:val="10AA32FC"/>
    <w:rsid w:val="10D7582B"/>
    <w:rsid w:val="10E37CCB"/>
    <w:rsid w:val="112D4C11"/>
    <w:rsid w:val="11631E9D"/>
    <w:rsid w:val="11633575"/>
    <w:rsid w:val="11786165"/>
    <w:rsid w:val="11A67FD2"/>
    <w:rsid w:val="11C0789C"/>
    <w:rsid w:val="12215B15"/>
    <w:rsid w:val="122359BE"/>
    <w:rsid w:val="122D02D9"/>
    <w:rsid w:val="12443874"/>
    <w:rsid w:val="126447D9"/>
    <w:rsid w:val="12710C70"/>
    <w:rsid w:val="12AB1546"/>
    <w:rsid w:val="12CE12B5"/>
    <w:rsid w:val="130050FC"/>
    <w:rsid w:val="13224875"/>
    <w:rsid w:val="13761CE4"/>
    <w:rsid w:val="13854B43"/>
    <w:rsid w:val="13916631"/>
    <w:rsid w:val="13D91E80"/>
    <w:rsid w:val="13EE59DD"/>
    <w:rsid w:val="143759AA"/>
    <w:rsid w:val="144D660C"/>
    <w:rsid w:val="146861A2"/>
    <w:rsid w:val="146C0D99"/>
    <w:rsid w:val="14B74076"/>
    <w:rsid w:val="14E861AF"/>
    <w:rsid w:val="15D9578F"/>
    <w:rsid w:val="15F068E9"/>
    <w:rsid w:val="1643557C"/>
    <w:rsid w:val="167D7F1C"/>
    <w:rsid w:val="16833E99"/>
    <w:rsid w:val="1689166C"/>
    <w:rsid w:val="169C51BD"/>
    <w:rsid w:val="16A83E9A"/>
    <w:rsid w:val="16B8788D"/>
    <w:rsid w:val="16C9382B"/>
    <w:rsid w:val="16DB2625"/>
    <w:rsid w:val="176531A5"/>
    <w:rsid w:val="1770769A"/>
    <w:rsid w:val="17EA0A1A"/>
    <w:rsid w:val="17EE7098"/>
    <w:rsid w:val="182E41D5"/>
    <w:rsid w:val="183F262D"/>
    <w:rsid w:val="18596C7D"/>
    <w:rsid w:val="187F582C"/>
    <w:rsid w:val="188501DA"/>
    <w:rsid w:val="188879BB"/>
    <w:rsid w:val="189B3C8E"/>
    <w:rsid w:val="18AE11FE"/>
    <w:rsid w:val="18BA4890"/>
    <w:rsid w:val="18DC6A9A"/>
    <w:rsid w:val="18F46DFD"/>
    <w:rsid w:val="18FD1883"/>
    <w:rsid w:val="191B532F"/>
    <w:rsid w:val="19526EA1"/>
    <w:rsid w:val="197B4878"/>
    <w:rsid w:val="19AD4F57"/>
    <w:rsid w:val="19E06684"/>
    <w:rsid w:val="19EA50CF"/>
    <w:rsid w:val="1A293A7B"/>
    <w:rsid w:val="1A2D5452"/>
    <w:rsid w:val="1A365C76"/>
    <w:rsid w:val="1A432B1B"/>
    <w:rsid w:val="1A956556"/>
    <w:rsid w:val="1B252495"/>
    <w:rsid w:val="1B3F77A3"/>
    <w:rsid w:val="1B5C033D"/>
    <w:rsid w:val="1B811852"/>
    <w:rsid w:val="1B8F374F"/>
    <w:rsid w:val="1BE15634"/>
    <w:rsid w:val="1C321B2D"/>
    <w:rsid w:val="1C3E06E4"/>
    <w:rsid w:val="1C704EFA"/>
    <w:rsid w:val="1CA77C43"/>
    <w:rsid w:val="1CE065DA"/>
    <w:rsid w:val="1CE307A3"/>
    <w:rsid w:val="1DF75E44"/>
    <w:rsid w:val="1E5A7302"/>
    <w:rsid w:val="1E5E3CE4"/>
    <w:rsid w:val="1EC574E9"/>
    <w:rsid w:val="1EE23A3E"/>
    <w:rsid w:val="1F046865"/>
    <w:rsid w:val="1F3738CB"/>
    <w:rsid w:val="1F7D4833"/>
    <w:rsid w:val="1F80480E"/>
    <w:rsid w:val="1F8575E2"/>
    <w:rsid w:val="1F9127B3"/>
    <w:rsid w:val="1FDF4104"/>
    <w:rsid w:val="20186B5E"/>
    <w:rsid w:val="202A24A9"/>
    <w:rsid w:val="203B62B7"/>
    <w:rsid w:val="205C3A27"/>
    <w:rsid w:val="21771A86"/>
    <w:rsid w:val="218D0B89"/>
    <w:rsid w:val="21A05FD0"/>
    <w:rsid w:val="21CD65E3"/>
    <w:rsid w:val="22365CE8"/>
    <w:rsid w:val="22D53B12"/>
    <w:rsid w:val="234B0BCE"/>
    <w:rsid w:val="23727183"/>
    <w:rsid w:val="23975FC0"/>
    <w:rsid w:val="23D12719"/>
    <w:rsid w:val="24A81A41"/>
    <w:rsid w:val="24EE3648"/>
    <w:rsid w:val="251A1F8F"/>
    <w:rsid w:val="253A712A"/>
    <w:rsid w:val="253E3ACA"/>
    <w:rsid w:val="25A054A5"/>
    <w:rsid w:val="25D5416A"/>
    <w:rsid w:val="25DC7AFE"/>
    <w:rsid w:val="26082DCD"/>
    <w:rsid w:val="26303855"/>
    <w:rsid w:val="263F63D5"/>
    <w:rsid w:val="267D6B72"/>
    <w:rsid w:val="267E7EE2"/>
    <w:rsid w:val="268931AA"/>
    <w:rsid w:val="26C23BA0"/>
    <w:rsid w:val="26C83D85"/>
    <w:rsid w:val="26E87752"/>
    <w:rsid w:val="26FE4844"/>
    <w:rsid w:val="27F83433"/>
    <w:rsid w:val="2853768C"/>
    <w:rsid w:val="28634BC3"/>
    <w:rsid w:val="28641CF0"/>
    <w:rsid w:val="28C04BAD"/>
    <w:rsid w:val="28C94B88"/>
    <w:rsid w:val="28CA369C"/>
    <w:rsid w:val="28CC6A0C"/>
    <w:rsid w:val="28F96A03"/>
    <w:rsid w:val="29217F2F"/>
    <w:rsid w:val="29A315DD"/>
    <w:rsid w:val="29CD6045"/>
    <w:rsid w:val="2A4D2430"/>
    <w:rsid w:val="2A54739A"/>
    <w:rsid w:val="2AD2620E"/>
    <w:rsid w:val="2ADA66CC"/>
    <w:rsid w:val="2AF00C18"/>
    <w:rsid w:val="2B451771"/>
    <w:rsid w:val="2B754C27"/>
    <w:rsid w:val="2B822FEC"/>
    <w:rsid w:val="2B9B4B83"/>
    <w:rsid w:val="2BB533C1"/>
    <w:rsid w:val="2C0559CB"/>
    <w:rsid w:val="2C6C46D0"/>
    <w:rsid w:val="2CA77DEB"/>
    <w:rsid w:val="2CAF3552"/>
    <w:rsid w:val="2CDA4378"/>
    <w:rsid w:val="2CE7502C"/>
    <w:rsid w:val="2D1112E7"/>
    <w:rsid w:val="2D225933"/>
    <w:rsid w:val="2D5920CA"/>
    <w:rsid w:val="2D7430CC"/>
    <w:rsid w:val="2DB63EC1"/>
    <w:rsid w:val="2DE24215"/>
    <w:rsid w:val="2DEC6710"/>
    <w:rsid w:val="2E3C04AB"/>
    <w:rsid w:val="2E400F46"/>
    <w:rsid w:val="2E877D35"/>
    <w:rsid w:val="2EC0114E"/>
    <w:rsid w:val="2ED630C0"/>
    <w:rsid w:val="2EFA7EAB"/>
    <w:rsid w:val="2F320F3A"/>
    <w:rsid w:val="2FAE762C"/>
    <w:rsid w:val="2FE605CC"/>
    <w:rsid w:val="2FFF2404"/>
    <w:rsid w:val="30256E56"/>
    <w:rsid w:val="302B4483"/>
    <w:rsid w:val="30446AC1"/>
    <w:rsid w:val="304F2F3B"/>
    <w:rsid w:val="30526F2D"/>
    <w:rsid w:val="309F176E"/>
    <w:rsid w:val="30D04370"/>
    <w:rsid w:val="30D24AF6"/>
    <w:rsid w:val="30E61044"/>
    <w:rsid w:val="30EE2ED1"/>
    <w:rsid w:val="31364808"/>
    <w:rsid w:val="31737CCF"/>
    <w:rsid w:val="318D1842"/>
    <w:rsid w:val="31C12F4C"/>
    <w:rsid w:val="3250010D"/>
    <w:rsid w:val="32AE6B3E"/>
    <w:rsid w:val="32F01C59"/>
    <w:rsid w:val="33254DEB"/>
    <w:rsid w:val="334533EF"/>
    <w:rsid w:val="33831403"/>
    <w:rsid w:val="33A20324"/>
    <w:rsid w:val="34190192"/>
    <w:rsid w:val="34333EE1"/>
    <w:rsid w:val="3469316D"/>
    <w:rsid w:val="34B1049E"/>
    <w:rsid w:val="35FE0132"/>
    <w:rsid w:val="365B414A"/>
    <w:rsid w:val="36695660"/>
    <w:rsid w:val="368343F7"/>
    <w:rsid w:val="369D4DA2"/>
    <w:rsid w:val="36BD0EAC"/>
    <w:rsid w:val="36E942ED"/>
    <w:rsid w:val="37515F65"/>
    <w:rsid w:val="37542BF3"/>
    <w:rsid w:val="37723CD0"/>
    <w:rsid w:val="37905B7C"/>
    <w:rsid w:val="37A26320"/>
    <w:rsid w:val="37BC0D30"/>
    <w:rsid w:val="37CB1876"/>
    <w:rsid w:val="37DC0EC1"/>
    <w:rsid w:val="37E14A88"/>
    <w:rsid w:val="380B161A"/>
    <w:rsid w:val="382D2906"/>
    <w:rsid w:val="38A5777E"/>
    <w:rsid w:val="38DE5B71"/>
    <w:rsid w:val="38E96F6F"/>
    <w:rsid w:val="390025F6"/>
    <w:rsid w:val="39303A1D"/>
    <w:rsid w:val="393F5CEB"/>
    <w:rsid w:val="39B202E9"/>
    <w:rsid w:val="39BF540B"/>
    <w:rsid w:val="3A0B6F14"/>
    <w:rsid w:val="3A2B284B"/>
    <w:rsid w:val="3A3418CC"/>
    <w:rsid w:val="3A455FF1"/>
    <w:rsid w:val="3AA57DE2"/>
    <w:rsid w:val="3B262B69"/>
    <w:rsid w:val="3B9C3C56"/>
    <w:rsid w:val="3BAD6645"/>
    <w:rsid w:val="3BC543C7"/>
    <w:rsid w:val="3BDF50C7"/>
    <w:rsid w:val="3BFE23B5"/>
    <w:rsid w:val="3C0E214F"/>
    <w:rsid w:val="3C1216DF"/>
    <w:rsid w:val="3D12021E"/>
    <w:rsid w:val="3D764DF9"/>
    <w:rsid w:val="3E077111"/>
    <w:rsid w:val="3E921340"/>
    <w:rsid w:val="3EB6261F"/>
    <w:rsid w:val="3EBB0349"/>
    <w:rsid w:val="3F3D3A4E"/>
    <w:rsid w:val="3F7166A5"/>
    <w:rsid w:val="3FB543FD"/>
    <w:rsid w:val="3FF84355"/>
    <w:rsid w:val="40083832"/>
    <w:rsid w:val="40365E08"/>
    <w:rsid w:val="4056454A"/>
    <w:rsid w:val="405B7F62"/>
    <w:rsid w:val="40713AD5"/>
    <w:rsid w:val="40D32A4C"/>
    <w:rsid w:val="40F61EB1"/>
    <w:rsid w:val="41175B2C"/>
    <w:rsid w:val="41595546"/>
    <w:rsid w:val="41727207"/>
    <w:rsid w:val="41801BF2"/>
    <w:rsid w:val="41DE60F3"/>
    <w:rsid w:val="41E358FE"/>
    <w:rsid w:val="42031C5E"/>
    <w:rsid w:val="4247267B"/>
    <w:rsid w:val="4282620A"/>
    <w:rsid w:val="4287385B"/>
    <w:rsid w:val="428E31A3"/>
    <w:rsid w:val="42C120C3"/>
    <w:rsid w:val="43014502"/>
    <w:rsid w:val="43077B41"/>
    <w:rsid w:val="4320516C"/>
    <w:rsid w:val="4326646F"/>
    <w:rsid w:val="432B244C"/>
    <w:rsid w:val="4352624C"/>
    <w:rsid w:val="436F2697"/>
    <w:rsid w:val="43D72E8F"/>
    <w:rsid w:val="442073EE"/>
    <w:rsid w:val="444661A8"/>
    <w:rsid w:val="44496226"/>
    <w:rsid w:val="44624498"/>
    <w:rsid w:val="44657EFE"/>
    <w:rsid w:val="44751EB7"/>
    <w:rsid w:val="44990671"/>
    <w:rsid w:val="449C2692"/>
    <w:rsid w:val="449D702F"/>
    <w:rsid w:val="44EC71D6"/>
    <w:rsid w:val="44F45C30"/>
    <w:rsid w:val="45600A47"/>
    <w:rsid w:val="4590654A"/>
    <w:rsid w:val="459C76EE"/>
    <w:rsid w:val="460F59FC"/>
    <w:rsid w:val="46633882"/>
    <w:rsid w:val="46816BC7"/>
    <w:rsid w:val="46875359"/>
    <w:rsid w:val="46F740D0"/>
    <w:rsid w:val="47332EA8"/>
    <w:rsid w:val="47346354"/>
    <w:rsid w:val="47956FC9"/>
    <w:rsid w:val="48055A77"/>
    <w:rsid w:val="482C73CE"/>
    <w:rsid w:val="48A319D2"/>
    <w:rsid w:val="48E40C1B"/>
    <w:rsid w:val="48F6071D"/>
    <w:rsid w:val="49C43804"/>
    <w:rsid w:val="49DA7FA3"/>
    <w:rsid w:val="49DC5B65"/>
    <w:rsid w:val="4A262FDB"/>
    <w:rsid w:val="4A4D4348"/>
    <w:rsid w:val="4A6257E1"/>
    <w:rsid w:val="4A745E93"/>
    <w:rsid w:val="4AAA7A11"/>
    <w:rsid w:val="4AAC4947"/>
    <w:rsid w:val="4AC3564E"/>
    <w:rsid w:val="4AC62588"/>
    <w:rsid w:val="4B0E6E44"/>
    <w:rsid w:val="4B1B68C1"/>
    <w:rsid w:val="4B1E1D34"/>
    <w:rsid w:val="4B2C0FE1"/>
    <w:rsid w:val="4B9E713C"/>
    <w:rsid w:val="4BAD0B24"/>
    <w:rsid w:val="4BB5774C"/>
    <w:rsid w:val="4BCA1072"/>
    <w:rsid w:val="4BCE75A2"/>
    <w:rsid w:val="4BD50442"/>
    <w:rsid w:val="4BF20B81"/>
    <w:rsid w:val="4C347EF7"/>
    <w:rsid w:val="4C3C4805"/>
    <w:rsid w:val="4C42741D"/>
    <w:rsid w:val="4C8E0928"/>
    <w:rsid w:val="4C916656"/>
    <w:rsid w:val="4C9B405C"/>
    <w:rsid w:val="4D0E4450"/>
    <w:rsid w:val="4D1156D5"/>
    <w:rsid w:val="4D387556"/>
    <w:rsid w:val="4D426840"/>
    <w:rsid w:val="4D8049FD"/>
    <w:rsid w:val="4D8B6747"/>
    <w:rsid w:val="4DE4611D"/>
    <w:rsid w:val="4E511731"/>
    <w:rsid w:val="4E5214A5"/>
    <w:rsid w:val="4E667798"/>
    <w:rsid w:val="4E6E0039"/>
    <w:rsid w:val="4E7B5546"/>
    <w:rsid w:val="4EA1530D"/>
    <w:rsid w:val="4F13076A"/>
    <w:rsid w:val="4F16290C"/>
    <w:rsid w:val="4F1E3D74"/>
    <w:rsid w:val="4F5904A2"/>
    <w:rsid w:val="4F59638E"/>
    <w:rsid w:val="4FD82B29"/>
    <w:rsid w:val="4FF67B47"/>
    <w:rsid w:val="501B21DB"/>
    <w:rsid w:val="50205D79"/>
    <w:rsid w:val="5076335F"/>
    <w:rsid w:val="50BB22A7"/>
    <w:rsid w:val="50DE7534"/>
    <w:rsid w:val="50EF4211"/>
    <w:rsid w:val="511C0A32"/>
    <w:rsid w:val="51604411"/>
    <w:rsid w:val="51F26A83"/>
    <w:rsid w:val="520469FA"/>
    <w:rsid w:val="52174932"/>
    <w:rsid w:val="521F2A93"/>
    <w:rsid w:val="524460A1"/>
    <w:rsid w:val="52C07C6D"/>
    <w:rsid w:val="52CF7566"/>
    <w:rsid w:val="53244EA8"/>
    <w:rsid w:val="5349426B"/>
    <w:rsid w:val="536F6C4D"/>
    <w:rsid w:val="539A5724"/>
    <w:rsid w:val="53BB3C51"/>
    <w:rsid w:val="53D5297E"/>
    <w:rsid w:val="54104D89"/>
    <w:rsid w:val="54680ECA"/>
    <w:rsid w:val="546E3F05"/>
    <w:rsid w:val="547340E6"/>
    <w:rsid w:val="5491183A"/>
    <w:rsid w:val="549C0855"/>
    <w:rsid w:val="54CC1486"/>
    <w:rsid w:val="54DC74E2"/>
    <w:rsid w:val="54DE7482"/>
    <w:rsid w:val="552410B7"/>
    <w:rsid w:val="55805F3E"/>
    <w:rsid w:val="558646EF"/>
    <w:rsid w:val="55D55C3C"/>
    <w:rsid w:val="5621327D"/>
    <w:rsid w:val="565516D4"/>
    <w:rsid w:val="56B92CD7"/>
    <w:rsid w:val="56BC6DF4"/>
    <w:rsid w:val="573676E7"/>
    <w:rsid w:val="575A4CDE"/>
    <w:rsid w:val="576E293E"/>
    <w:rsid w:val="577A52E4"/>
    <w:rsid w:val="579E21DF"/>
    <w:rsid w:val="5895206A"/>
    <w:rsid w:val="58BD4DB3"/>
    <w:rsid w:val="58BF5131"/>
    <w:rsid w:val="58C20E44"/>
    <w:rsid w:val="58D766B9"/>
    <w:rsid w:val="58EA3C13"/>
    <w:rsid w:val="5903565A"/>
    <w:rsid w:val="59A93DB0"/>
    <w:rsid w:val="59F76345"/>
    <w:rsid w:val="5A0A201F"/>
    <w:rsid w:val="5A3C5143"/>
    <w:rsid w:val="5A8262B5"/>
    <w:rsid w:val="5A89478A"/>
    <w:rsid w:val="5AB034BF"/>
    <w:rsid w:val="5AB87E7B"/>
    <w:rsid w:val="5AC20F4F"/>
    <w:rsid w:val="5B045A43"/>
    <w:rsid w:val="5B215EAD"/>
    <w:rsid w:val="5B6C3892"/>
    <w:rsid w:val="5B701157"/>
    <w:rsid w:val="5B7F7374"/>
    <w:rsid w:val="5BE32127"/>
    <w:rsid w:val="5C11568E"/>
    <w:rsid w:val="5C336BE9"/>
    <w:rsid w:val="5C40507F"/>
    <w:rsid w:val="5C536D64"/>
    <w:rsid w:val="5C8A688E"/>
    <w:rsid w:val="5C8B58D1"/>
    <w:rsid w:val="5C931A69"/>
    <w:rsid w:val="5CC234A5"/>
    <w:rsid w:val="5D0377CF"/>
    <w:rsid w:val="5D1641E7"/>
    <w:rsid w:val="5D2E6068"/>
    <w:rsid w:val="5D475233"/>
    <w:rsid w:val="5D6F2AF8"/>
    <w:rsid w:val="5D97529E"/>
    <w:rsid w:val="5DB927D6"/>
    <w:rsid w:val="5E183DD1"/>
    <w:rsid w:val="5E3800E1"/>
    <w:rsid w:val="5E6C3E78"/>
    <w:rsid w:val="5E7B35FC"/>
    <w:rsid w:val="5E925B1B"/>
    <w:rsid w:val="5EAC6FCD"/>
    <w:rsid w:val="5F01032E"/>
    <w:rsid w:val="5F70607C"/>
    <w:rsid w:val="601939CB"/>
    <w:rsid w:val="60342B0F"/>
    <w:rsid w:val="60543AD3"/>
    <w:rsid w:val="60573BFA"/>
    <w:rsid w:val="607C6CBE"/>
    <w:rsid w:val="60BF1FD9"/>
    <w:rsid w:val="61A9603A"/>
    <w:rsid w:val="61B71D9C"/>
    <w:rsid w:val="61D06725"/>
    <w:rsid w:val="61FA1526"/>
    <w:rsid w:val="620023CB"/>
    <w:rsid w:val="625C68F9"/>
    <w:rsid w:val="627A18FC"/>
    <w:rsid w:val="62B66AFB"/>
    <w:rsid w:val="63364C23"/>
    <w:rsid w:val="635F1A4F"/>
    <w:rsid w:val="63937682"/>
    <w:rsid w:val="63D358C9"/>
    <w:rsid w:val="641301EA"/>
    <w:rsid w:val="642C179D"/>
    <w:rsid w:val="6450579E"/>
    <w:rsid w:val="64881F81"/>
    <w:rsid w:val="64BB18DC"/>
    <w:rsid w:val="64CF3D12"/>
    <w:rsid w:val="64CF63F4"/>
    <w:rsid w:val="65200D04"/>
    <w:rsid w:val="65342610"/>
    <w:rsid w:val="654F0F71"/>
    <w:rsid w:val="65595AB0"/>
    <w:rsid w:val="657B7B75"/>
    <w:rsid w:val="657D7230"/>
    <w:rsid w:val="658A7362"/>
    <w:rsid w:val="65ED5044"/>
    <w:rsid w:val="66A6552C"/>
    <w:rsid w:val="66E67EFD"/>
    <w:rsid w:val="67074DA8"/>
    <w:rsid w:val="673A7430"/>
    <w:rsid w:val="67500981"/>
    <w:rsid w:val="6756252B"/>
    <w:rsid w:val="67BF6216"/>
    <w:rsid w:val="67FB54CA"/>
    <w:rsid w:val="68624E38"/>
    <w:rsid w:val="689627C2"/>
    <w:rsid w:val="689B5F36"/>
    <w:rsid w:val="68DB086B"/>
    <w:rsid w:val="690E19C9"/>
    <w:rsid w:val="69280027"/>
    <w:rsid w:val="69313AB9"/>
    <w:rsid w:val="694678B7"/>
    <w:rsid w:val="694E5CA2"/>
    <w:rsid w:val="696D3186"/>
    <w:rsid w:val="69AC4430"/>
    <w:rsid w:val="69C441F4"/>
    <w:rsid w:val="69CF4947"/>
    <w:rsid w:val="6A062771"/>
    <w:rsid w:val="6A3426D6"/>
    <w:rsid w:val="6ACD5B9B"/>
    <w:rsid w:val="6AD00745"/>
    <w:rsid w:val="6B370CAD"/>
    <w:rsid w:val="6B8766AC"/>
    <w:rsid w:val="6BA75680"/>
    <w:rsid w:val="6BAA17ED"/>
    <w:rsid w:val="6BC120C1"/>
    <w:rsid w:val="6BD90880"/>
    <w:rsid w:val="6C0C4313"/>
    <w:rsid w:val="6C4E6C53"/>
    <w:rsid w:val="6C514CFF"/>
    <w:rsid w:val="6C684ADD"/>
    <w:rsid w:val="6C8862DD"/>
    <w:rsid w:val="6CA11ECA"/>
    <w:rsid w:val="6D141897"/>
    <w:rsid w:val="6D611531"/>
    <w:rsid w:val="6D743A98"/>
    <w:rsid w:val="6DF060E3"/>
    <w:rsid w:val="6DFF4880"/>
    <w:rsid w:val="6E2222E4"/>
    <w:rsid w:val="6E2E7D2D"/>
    <w:rsid w:val="6EC16640"/>
    <w:rsid w:val="6EDD1AC5"/>
    <w:rsid w:val="6EEC1442"/>
    <w:rsid w:val="6F225696"/>
    <w:rsid w:val="6F3239AE"/>
    <w:rsid w:val="6F3E739F"/>
    <w:rsid w:val="6F5304E4"/>
    <w:rsid w:val="6F5A10D3"/>
    <w:rsid w:val="6F914A1F"/>
    <w:rsid w:val="6FDD17DE"/>
    <w:rsid w:val="6FE52AD2"/>
    <w:rsid w:val="6FE5444F"/>
    <w:rsid w:val="6FEE5677"/>
    <w:rsid w:val="70043610"/>
    <w:rsid w:val="70086310"/>
    <w:rsid w:val="70435849"/>
    <w:rsid w:val="708A15C7"/>
    <w:rsid w:val="70A032B4"/>
    <w:rsid w:val="70DA43C9"/>
    <w:rsid w:val="70F00A96"/>
    <w:rsid w:val="719B190A"/>
    <w:rsid w:val="72201FA8"/>
    <w:rsid w:val="722577FA"/>
    <w:rsid w:val="7231623E"/>
    <w:rsid w:val="727B7AA7"/>
    <w:rsid w:val="72C006BC"/>
    <w:rsid w:val="73571A07"/>
    <w:rsid w:val="738674DF"/>
    <w:rsid w:val="73A8226A"/>
    <w:rsid w:val="74CC221C"/>
    <w:rsid w:val="751158D7"/>
    <w:rsid w:val="75892108"/>
    <w:rsid w:val="75A56004"/>
    <w:rsid w:val="7600644C"/>
    <w:rsid w:val="7608190C"/>
    <w:rsid w:val="76507936"/>
    <w:rsid w:val="76F00B91"/>
    <w:rsid w:val="76F51ECB"/>
    <w:rsid w:val="77177630"/>
    <w:rsid w:val="776C165E"/>
    <w:rsid w:val="77817275"/>
    <w:rsid w:val="7792796F"/>
    <w:rsid w:val="77D0584E"/>
    <w:rsid w:val="78D4228A"/>
    <w:rsid w:val="79291A78"/>
    <w:rsid w:val="794257DD"/>
    <w:rsid w:val="794F73CE"/>
    <w:rsid w:val="79560EF8"/>
    <w:rsid w:val="7A147459"/>
    <w:rsid w:val="7A6E4128"/>
    <w:rsid w:val="7ACB1B5F"/>
    <w:rsid w:val="7ACF095D"/>
    <w:rsid w:val="7AD46F08"/>
    <w:rsid w:val="7AFC6528"/>
    <w:rsid w:val="7B1E3C25"/>
    <w:rsid w:val="7B4A02D1"/>
    <w:rsid w:val="7B551150"/>
    <w:rsid w:val="7C405AC7"/>
    <w:rsid w:val="7C8053FA"/>
    <w:rsid w:val="7CB71B8B"/>
    <w:rsid w:val="7CBD15E8"/>
    <w:rsid w:val="7D8C67F9"/>
    <w:rsid w:val="7DE534E1"/>
    <w:rsid w:val="7DF804B8"/>
    <w:rsid w:val="7E3C663F"/>
    <w:rsid w:val="7E991298"/>
    <w:rsid w:val="7EC07C5D"/>
    <w:rsid w:val="7EFD017F"/>
    <w:rsid w:val="7F0C4507"/>
    <w:rsid w:val="7FA27D87"/>
    <w:rsid w:val="7FB07440"/>
    <w:rsid w:val="7FBF64B8"/>
    <w:rsid w:val="F7DBA03B"/>
    <w:rsid w:val="FB373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nhideWhenUsed="0" w:uiPriority="0" w:semiHidden="0" w:name="Normal Indent"/>
    <w:lsdException w:qFormat="1" w:unhideWhenUsed="0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iPriority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line="360" w:lineRule="auto"/>
      <w:ind w:firstLine="480" w:firstLineChars="200"/>
      <w:jc w:val="both"/>
    </w:pPr>
    <w:rPr>
      <w:rFonts w:ascii="宋体" w:hAnsi="宋体" w:eastAsia="宋体" w:cs="Times New Roman"/>
      <w:sz w:val="21"/>
      <w:szCs w:val="21"/>
      <w:lang w:val="en-US" w:eastAsia="zh-CN" w:bidi="ar-SA"/>
    </w:rPr>
  </w:style>
  <w:style w:type="paragraph" w:styleId="3">
    <w:name w:val="heading 1"/>
    <w:basedOn w:val="4"/>
    <w:next w:val="1"/>
    <w:link w:val="37"/>
    <w:qFormat/>
    <w:uiPriority w:val="0"/>
    <w:pPr>
      <w:keepNext/>
      <w:keepLines/>
      <w:numPr>
        <w:ilvl w:val="0"/>
        <w:numId w:val="1"/>
      </w:numPr>
      <w:spacing w:before="60"/>
      <w:ind w:left="2835" w:firstLineChars="0"/>
      <w:jc w:val="left"/>
    </w:pPr>
    <w:rPr>
      <w:rFonts w:ascii="Times New Roman" w:hAnsi="Times New Roman" w:eastAsia="宋体"/>
      <w:bCs/>
      <w:kern w:val="44"/>
      <w:sz w:val="28"/>
      <w:szCs w:val="44"/>
    </w:rPr>
  </w:style>
  <w:style w:type="paragraph" w:styleId="5">
    <w:name w:val="heading 2"/>
    <w:basedOn w:val="1"/>
    <w:next w:val="1"/>
    <w:link w:val="39"/>
    <w:autoRedefine/>
    <w:unhideWhenUsed/>
    <w:qFormat/>
    <w:uiPriority w:val="0"/>
    <w:pPr>
      <w:widowControl/>
      <w:numPr>
        <w:ilvl w:val="1"/>
        <w:numId w:val="1"/>
      </w:numPr>
      <w:tabs>
        <w:tab w:val="left" w:pos="432"/>
        <w:tab w:val="left" w:pos="3267"/>
      </w:tabs>
      <w:spacing w:before="40" w:after="40"/>
      <w:ind w:left="992" w:firstLineChars="0"/>
      <w:jc w:val="left"/>
      <w:outlineLvl w:val="1"/>
    </w:pPr>
    <w:rPr>
      <w:rFonts w:ascii="宋体" w:hAnsi="宋体" w:eastAsia="宋体"/>
      <w:b/>
      <w:bCs/>
      <w:sz w:val="24"/>
      <w:szCs w:val="32"/>
    </w:rPr>
  </w:style>
  <w:style w:type="paragraph" w:styleId="6">
    <w:name w:val="heading 3"/>
    <w:basedOn w:val="1"/>
    <w:next w:val="1"/>
    <w:link w:val="38"/>
    <w:autoRedefine/>
    <w:unhideWhenUsed/>
    <w:qFormat/>
    <w:uiPriority w:val="0"/>
    <w:pPr>
      <w:numPr>
        <w:ilvl w:val="2"/>
        <w:numId w:val="1"/>
      </w:numPr>
      <w:tabs>
        <w:tab w:val="left" w:pos="432"/>
        <w:tab w:val="left" w:pos="578"/>
        <w:tab w:val="clear" w:pos="0"/>
      </w:tabs>
      <w:ind w:firstLineChars="0"/>
      <w:outlineLvl w:val="2"/>
    </w:pPr>
    <w:rPr>
      <w:rFonts w:ascii="宋体" w:hAnsi="宋体" w:eastAsia="宋体" w:cs="宋体"/>
      <w:b/>
      <w:bCs/>
      <w:sz w:val="24"/>
      <w:szCs w:val="32"/>
    </w:rPr>
  </w:style>
  <w:style w:type="paragraph" w:styleId="7">
    <w:name w:val="heading 4"/>
    <w:basedOn w:val="1"/>
    <w:next w:val="1"/>
    <w:link w:val="40"/>
    <w:autoRedefine/>
    <w:unhideWhenUsed/>
    <w:qFormat/>
    <w:uiPriority w:val="0"/>
    <w:pPr>
      <w:keepNext/>
      <w:keepLines/>
      <w:numPr>
        <w:ilvl w:val="3"/>
        <w:numId w:val="1"/>
      </w:numPr>
      <w:tabs>
        <w:tab w:val="left" w:pos="432"/>
      </w:tabs>
      <w:ind w:firstLineChars="0"/>
      <w:outlineLvl w:val="3"/>
    </w:pPr>
    <w:rPr>
      <w:rFonts w:ascii="Arial" w:hAnsi="Arial"/>
      <w:b/>
      <w:szCs w:val="22"/>
    </w:rPr>
  </w:style>
  <w:style w:type="paragraph" w:styleId="8">
    <w:name w:val="heading 5"/>
    <w:basedOn w:val="1"/>
    <w:next w:val="1"/>
    <w:link w:val="41"/>
    <w:autoRedefine/>
    <w:unhideWhenUsed/>
    <w:qFormat/>
    <w:uiPriority w:val="0"/>
    <w:pPr>
      <w:keepNext/>
      <w:keepLines/>
      <w:numPr>
        <w:ilvl w:val="0"/>
        <w:numId w:val="2"/>
      </w:numPr>
      <w:tabs>
        <w:tab w:val="left" w:pos="432"/>
      </w:tabs>
      <w:ind w:firstLine="0" w:firstLineChars="0"/>
      <w:outlineLvl w:val="4"/>
    </w:pPr>
    <w:rPr>
      <w:rFonts w:ascii="宋体" w:hAnsi="宋体" w:eastAsia="宋体"/>
      <w:b/>
      <w:szCs w:val="22"/>
    </w:rPr>
  </w:style>
  <w:style w:type="paragraph" w:styleId="9">
    <w:name w:val="heading 6"/>
    <w:basedOn w:val="1"/>
    <w:next w:val="1"/>
    <w:autoRedefine/>
    <w:unhideWhenUsed/>
    <w:qFormat/>
    <w:uiPriority w:val="0"/>
    <w:pPr>
      <w:keepNext/>
      <w:keepLines/>
      <w:tabs>
        <w:tab w:val="left" w:pos="432"/>
      </w:tabs>
      <w:ind w:firstLine="0" w:firstLineChars="0"/>
      <w:outlineLvl w:val="5"/>
    </w:pPr>
    <w:rPr>
      <w:b/>
      <w:szCs w:val="22"/>
    </w:rPr>
  </w:style>
  <w:style w:type="paragraph" w:styleId="10">
    <w:name w:val="heading 7"/>
    <w:basedOn w:val="1"/>
    <w:next w:val="1"/>
    <w:link w:val="42"/>
    <w:autoRedefine/>
    <w:unhideWhenUsed/>
    <w:qFormat/>
    <w:uiPriority w:val="0"/>
    <w:pPr>
      <w:keepNext/>
      <w:keepLines/>
      <w:widowControl/>
      <w:numPr>
        <w:ilvl w:val="6"/>
        <w:numId w:val="3"/>
      </w:numPr>
      <w:tabs>
        <w:tab w:val="left" w:pos="432"/>
      </w:tabs>
      <w:ind w:firstLineChars="0"/>
      <w:outlineLvl w:val="6"/>
    </w:pPr>
    <w:rPr>
      <w:b/>
      <w:iCs/>
      <w:color w:val="404040"/>
      <w:szCs w:val="22"/>
      <w:lang w:eastAsia="en-US" w:bidi="en-US"/>
    </w:rPr>
  </w:style>
  <w:style w:type="paragraph" w:styleId="11">
    <w:name w:val="heading 8"/>
    <w:basedOn w:val="1"/>
    <w:next w:val="1"/>
    <w:unhideWhenUsed/>
    <w:qFormat/>
    <w:uiPriority w:val="0"/>
    <w:pPr>
      <w:keepNext/>
      <w:keepLines/>
      <w:numPr>
        <w:ilvl w:val="7"/>
        <w:numId w:val="3"/>
      </w:numPr>
      <w:tabs>
        <w:tab w:val="left" w:pos="432"/>
        <w:tab w:val="clear" w:pos="420"/>
      </w:tabs>
      <w:outlineLvl w:val="7"/>
    </w:pPr>
    <w:rPr>
      <w:b/>
      <w:szCs w:val="22"/>
    </w:rPr>
  </w:style>
  <w:style w:type="paragraph" w:styleId="12">
    <w:name w:val="heading 9"/>
    <w:basedOn w:val="1"/>
    <w:next w:val="1"/>
    <w:autoRedefine/>
    <w:unhideWhenUsed/>
    <w:qFormat/>
    <w:uiPriority w:val="0"/>
    <w:pPr>
      <w:keepNext/>
      <w:keepLines/>
      <w:numPr>
        <w:ilvl w:val="8"/>
        <w:numId w:val="3"/>
      </w:numPr>
      <w:outlineLvl w:val="8"/>
    </w:pPr>
    <w:rPr>
      <w:b/>
      <w:szCs w:val="22"/>
    </w:rPr>
  </w:style>
  <w:style w:type="character" w:default="1" w:styleId="33">
    <w:name w:val="Default Paragraph Font"/>
    <w:autoRedefine/>
    <w:semiHidden/>
    <w:unhideWhenUsed/>
    <w:qFormat/>
    <w:uiPriority w:val="1"/>
  </w:style>
  <w:style w:type="table" w:default="1" w:styleId="31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unhideWhenUsed/>
    <w:qFormat/>
    <w:uiPriority w:val="0"/>
    <w:pPr>
      <w:spacing w:after="120"/>
    </w:pPr>
  </w:style>
  <w:style w:type="paragraph" w:styleId="4">
    <w:name w:val="Title"/>
    <w:basedOn w:val="1"/>
    <w:autoRedefine/>
    <w:qFormat/>
    <w:uiPriority w:val="0"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13">
    <w:name w:val="toc 7"/>
    <w:basedOn w:val="1"/>
    <w:next w:val="1"/>
    <w:autoRedefine/>
    <w:unhideWhenUsed/>
    <w:qFormat/>
    <w:uiPriority w:val="39"/>
    <w:pPr>
      <w:spacing w:line="240" w:lineRule="auto"/>
      <w:ind w:left="2520" w:leftChars="12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14">
    <w:name w:val="caption"/>
    <w:basedOn w:val="1"/>
    <w:next w:val="1"/>
    <w:link w:val="43"/>
    <w:autoRedefine/>
    <w:unhideWhenUsed/>
    <w:qFormat/>
    <w:uiPriority w:val="35"/>
    <w:pPr>
      <w:ind w:firstLine="0" w:firstLineChars="0"/>
      <w:jc w:val="center"/>
    </w:pPr>
    <w:rPr>
      <w:sz w:val="18"/>
      <w:szCs w:val="22"/>
    </w:rPr>
  </w:style>
  <w:style w:type="paragraph" w:styleId="15">
    <w:name w:val="annotation text"/>
    <w:basedOn w:val="1"/>
    <w:autoRedefine/>
    <w:unhideWhenUsed/>
    <w:qFormat/>
    <w:uiPriority w:val="0"/>
    <w:pPr>
      <w:jc w:val="left"/>
    </w:pPr>
  </w:style>
  <w:style w:type="paragraph" w:styleId="16">
    <w:name w:val="Body Text Indent"/>
    <w:basedOn w:val="1"/>
    <w:link w:val="67"/>
    <w:autoRedefine/>
    <w:qFormat/>
    <w:uiPriority w:val="0"/>
    <w:pPr>
      <w:spacing w:after="120"/>
      <w:ind w:left="420" w:leftChars="200"/>
    </w:pPr>
  </w:style>
  <w:style w:type="paragraph" w:styleId="17">
    <w:name w:val="toc 5"/>
    <w:basedOn w:val="1"/>
    <w:next w:val="1"/>
    <w:autoRedefine/>
    <w:unhideWhenUsed/>
    <w:qFormat/>
    <w:uiPriority w:val="39"/>
    <w:pPr>
      <w:spacing w:line="240" w:lineRule="auto"/>
      <w:ind w:left="1680" w:leftChars="8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18">
    <w:name w:val="toc 3"/>
    <w:basedOn w:val="1"/>
    <w:next w:val="1"/>
    <w:autoRedefine/>
    <w:qFormat/>
    <w:uiPriority w:val="39"/>
    <w:pPr>
      <w:tabs>
        <w:tab w:val="right" w:leader="dot" w:pos="8788"/>
      </w:tabs>
      <w:ind w:left="840" w:leftChars="400" w:firstLine="0" w:firstLineChars="0"/>
    </w:pPr>
  </w:style>
  <w:style w:type="paragraph" w:styleId="19">
    <w:name w:val="Plain Text"/>
    <w:basedOn w:val="1"/>
    <w:link w:val="68"/>
    <w:autoRedefine/>
    <w:qFormat/>
    <w:uiPriority w:val="0"/>
    <w:pPr>
      <w:spacing w:line="240" w:lineRule="auto"/>
      <w:ind w:firstLine="0" w:firstLineChars="0"/>
    </w:pPr>
    <w:rPr>
      <w:rFonts w:hAnsi="Courier New" w:asciiTheme="minorHAnsi" w:eastAsiaTheme="minorEastAsia" w:cstheme="minorBidi"/>
      <w:kern w:val="2"/>
      <w:szCs w:val="20"/>
    </w:rPr>
  </w:style>
  <w:style w:type="paragraph" w:styleId="20">
    <w:name w:val="toc 8"/>
    <w:basedOn w:val="1"/>
    <w:next w:val="1"/>
    <w:autoRedefine/>
    <w:unhideWhenUsed/>
    <w:qFormat/>
    <w:uiPriority w:val="39"/>
    <w:pPr>
      <w:spacing w:line="240" w:lineRule="auto"/>
      <w:ind w:left="2940" w:leftChars="14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21">
    <w:name w:val="footer"/>
    <w:basedOn w:val="1"/>
    <w:next w:val="18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22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23">
    <w:name w:val="toc 1"/>
    <w:basedOn w:val="1"/>
    <w:next w:val="1"/>
    <w:link w:val="44"/>
    <w:autoRedefine/>
    <w:qFormat/>
    <w:uiPriority w:val="39"/>
    <w:pPr>
      <w:tabs>
        <w:tab w:val="right" w:leader="dot" w:pos="8788"/>
      </w:tabs>
      <w:ind w:firstLine="0" w:firstLineChars="0"/>
    </w:pPr>
  </w:style>
  <w:style w:type="paragraph" w:styleId="24">
    <w:name w:val="toc 4"/>
    <w:basedOn w:val="1"/>
    <w:next w:val="1"/>
    <w:autoRedefine/>
    <w:unhideWhenUsed/>
    <w:qFormat/>
    <w:uiPriority w:val="39"/>
    <w:pPr>
      <w:spacing w:line="240" w:lineRule="auto"/>
      <w:ind w:left="1260" w:leftChars="6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25">
    <w:name w:val="footnote text"/>
    <w:basedOn w:val="1"/>
    <w:link w:val="54"/>
    <w:autoRedefine/>
    <w:qFormat/>
    <w:uiPriority w:val="0"/>
    <w:pPr>
      <w:widowControl/>
      <w:snapToGrid w:val="0"/>
      <w:ind w:firstLine="0" w:firstLineChars="0"/>
      <w:jc w:val="left"/>
    </w:pPr>
    <w:rPr>
      <w:rFonts w:cs="宋体"/>
      <w:sz w:val="18"/>
      <w:szCs w:val="18"/>
    </w:rPr>
  </w:style>
  <w:style w:type="paragraph" w:styleId="26">
    <w:name w:val="toc 6"/>
    <w:basedOn w:val="1"/>
    <w:next w:val="1"/>
    <w:autoRedefine/>
    <w:unhideWhenUsed/>
    <w:qFormat/>
    <w:uiPriority w:val="39"/>
    <w:pPr>
      <w:spacing w:line="240" w:lineRule="auto"/>
      <w:ind w:left="2100" w:leftChars="10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27">
    <w:name w:val="toc 2"/>
    <w:basedOn w:val="1"/>
    <w:next w:val="1"/>
    <w:autoRedefine/>
    <w:qFormat/>
    <w:uiPriority w:val="39"/>
    <w:pPr>
      <w:ind w:left="420" w:leftChars="200" w:firstLine="0" w:firstLineChars="0"/>
    </w:pPr>
  </w:style>
  <w:style w:type="paragraph" w:styleId="28">
    <w:name w:val="toc 9"/>
    <w:basedOn w:val="1"/>
    <w:next w:val="1"/>
    <w:unhideWhenUsed/>
    <w:qFormat/>
    <w:uiPriority w:val="39"/>
    <w:pPr>
      <w:spacing w:line="240" w:lineRule="auto"/>
      <w:ind w:left="3360" w:leftChars="16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29">
    <w:name w:val="Normal (Web)"/>
    <w:basedOn w:val="1"/>
    <w:autoRedefine/>
    <w:qFormat/>
    <w:uiPriority w:val="99"/>
    <w:pPr>
      <w:spacing w:beforeAutospacing="1" w:afterAutospacing="1"/>
      <w:jc w:val="left"/>
    </w:pPr>
    <w:rPr>
      <w:sz w:val="24"/>
    </w:rPr>
  </w:style>
  <w:style w:type="paragraph" w:styleId="30">
    <w:name w:val="Body Text First Indent"/>
    <w:basedOn w:val="2"/>
    <w:autoRedefine/>
    <w:qFormat/>
    <w:uiPriority w:val="0"/>
    <w:pPr>
      <w:ind w:firstLine="420"/>
    </w:pPr>
    <w:rPr>
      <w:sz w:val="24"/>
      <w:szCs w:val="20"/>
    </w:rPr>
  </w:style>
  <w:style w:type="table" w:styleId="32">
    <w:name w:val="Table Grid"/>
    <w:basedOn w:val="31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4">
    <w:name w:val="FollowedHyperlink"/>
    <w:basedOn w:val="33"/>
    <w:qFormat/>
    <w:uiPriority w:val="0"/>
    <w:rPr>
      <w:color w:val="800080"/>
      <w:u w:val="single"/>
    </w:rPr>
  </w:style>
  <w:style w:type="character" w:styleId="35">
    <w:name w:val="Hyperlink"/>
    <w:basedOn w:val="33"/>
    <w:autoRedefine/>
    <w:qFormat/>
    <w:uiPriority w:val="99"/>
    <w:rPr>
      <w:rFonts w:ascii="宋体" w:hAnsi="宋体" w:eastAsia="宋体"/>
      <w:color w:val="0563C1" w:themeColor="hyperlink"/>
      <w:sz w:val="21"/>
      <w:u w:val="single"/>
      <w14:textFill>
        <w14:solidFill>
          <w14:schemeClr w14:val="hlink"/>
        </w14:solidFill>
      </w14:textFill>
    </w:rPr>
  </w:style>
  <w:style w:type="character" w:styleId="36">
    <w:name w:val="annotation reference"/>
    <w:basedOn w:val="33"/>
    <w:autoRedefine/>
    <w:unhideWhenUsed/>
    <w:qFormat/>
    <w:uiPriority w:val="0"/>
    <w:rPr>
      <w:sz w:val="21"/>
      <w:szCs w:val="21"/>
    </w:rPr>
  </w:style>
  <w:style w:type="character" w:customStyle="1" w:styleId="37">
    <w:name w:val="标题 1 字符"/>
    <w:link w:val="3"/>
    <w:autoRedefine/>
    <w:qFormat/>
    <w:uiPriority w:val="0"/>
    <w:rPr>
      <w:rFonts w:ascii="Times New Roman" w:hAnsi="Times New Roman" w:eastAsia="宋体"/>
      <w:b/>
      <w:bCs/>
      <w:kern w:val="44"/>
      <w:sz w:val="28"/>
      <w:szCs w:val="44"/>
    </w:rPr>
  </w:style>
  <w:style w:type="character" w:customStyle="1" w:styleId="38">
    <w:name w:val="标题 3 字符"/>
    <w:link w:val="6"/>
    <w:autoRedefine/>
    <w:qFormat/>
    <w:uiPriority w:val="0"/>
    <w:rPr>
      <w:rFonts w:ascii="宋体" w:hAnsi="宋体" w:eastAsia="宋体" w:cs="宋体"/>
      <w:b/>
      <w:bCs/>
      <w:sz w:val="24"/>
      <w:szCs w:val="32"/>
    </w:rPr>
  </w:style>
  <w:style w:type="character" w:customStyle="1" w:styleId="39">
    <w:name w:val="标题 2 字符"/>
    <w:link w:val="5"/>
    <w:autoRedefine/>
    <w:qFormat/>
    <w:uiPriority w:val="0"/>
    <w:rPr>
      <w:rFonts w:ascii="宋体" w:hAnsi="宋体" w:eastAsia="宋体"/>
      <w:b/>
      <w:bCs/>
      <w:sz w:val="24"/>
      <w:szCs w:val="32"/>
    </w:rPr>
  </w:style>
  <w:style w:type="character" w:customStyle="1" w:styleId="40">
    <w:name w:val="标题 4 字符"/>
    <w:basedOn w:val="33"/>
    <w:link w:val="7"/>
    <w:autoRedefine/>
    <w:qFormat/>
    <w:uiPriority w:val="0"/>
    <w:rPr>
      <w:rFonts w:ascii="Arial" w:hAnsi="Arial"/>
      <w:b/>
      <w:sz w:val="21"/>
      <w:szCs w:val="22"/>
    </w:rPr>
  </w:style>
  <w:style w:type="character" w:customStyle="1" w:styleId="41">
    <w:name w:val="标题 5 字符"/>
    <w:link w:val="8"/>
    <w:autoRedefine/>
    <w:qFormat/>
    <w:uiPriority w:val="9"/>
    <w:rPr>
      <w:rFonts w:ascii="宋体" w:hAnsi="宋体" w:eastAsia="宋体"/>
      <w:b/>
      <w:sz w:val="21"/>
      <w:szCs w:val="22"/>
    </w:rPr>
  </w:style>
  <w:style w:type="character" w:customStyle="1" w:styleId="42">
    <w:name w:val="标题 7 字符"/>
    <w:link w:val="10"/>
    <w:autoRedefine/>
    <w:qFormat/>
    <w:uiPriority w:val="0"/>
    <w:rPr>
      <w:rFonts w:ascii="宋体" w:hAnsi="宋体"/>
      <w:b/>
      <w:iCs/>
      <w:color w:val="404040"/>
      <w:sz w:val="21"/>
      <w:szCs w:val="22"/>
      <w:lang w:eastAsia="en-US" w:bidi="en-US"/>
    </w:rPr>
  </w:style>
  <w:style w:type="character" w:customStyle="1" w:styleId="43">
    <w:name w:val="题注 字符"/>
    <w:link w:val="14"/>
    <w:autoRedefine/>
    <w:qFormat/>
    <w:uiPriority w:val="35"/>
    <w:rPr>
      <w:rFonts w:ascii="宋体" w:hAnsi="宋体"/>
      <w:sz w:val="18"/>
      <w:szCs w:val="22"/>
    </w:rPr>
  </w:style>
  <w:style w:type="character" w:customStyle="1" w:styleId="44">
    <w:name w:val="TOC 1 字符"/>
    <w:link w:val="23"/>
    <w:autoRedefine/>
    <w:qFormat/>
    <w:uiPriority w:val="0"/>
  </w:style>
  <w:style w:type="paragraph" w:customStyle="1" w:styleId="45">
    <w:name w:val="表格文本"/>
    <w:basedOn w:val="1"/>
    <w:autoRedefine/>
    <w:qFormat/>
    <w:uiPriority w:val="0"/>
    <w:pPr>
      <w:snapToGrid w:val="0"/>
      <w:ind w:firstLine="0" w:firstLineChars="0"/>
      <w:jc w:val="center"/>
    </w:pPr>
    <w:rPr>
      <w:rFonts w:ascii="Times New Roman" w:hAnsi="Times New Roman"/>
      <w:sz w:val="18"/>
      <w:szCs w:val="24"/>
    </w:rPr>
  </w:style>
  <w:style w:type="paragraph" w:customStyle="1" w:styleId="46">
    <w:name w:val="表格体"/>
    <w:basedOn w:val="1"/>
    <w:link w:val="47"/>
    <w:autoRedefine/>
    <w:qFormat/>
    <w:uiPriority w:val="0"/>
    <w:pPr>
      <w:ind w:firstLine="0" w:firstLineChars="0"/>
      <w:jc w:val="left"/>
    </w:pPr>
    <w:rPr>
      <w:color w:val="000000"/>
      <w:sz w:val="18"/>
      <w:szCs w:val="18"/>
    </w:rPr>
  </w:style>
  <w:style w:type="character" w:customStyle="1" w:styleId="47">
    <w:name w:val="表格体 字符"/>
    <w:link w:val="46"/>
    <w:autoRedefine/>
    <w:qFormat/>
    <w:uiPriority w:val="0"/>
    <w:rPr>
      <w:rFonts w:ascii="宋体" w:hAnsi="宋体" w:eastAsia="宋体"/>
      <w:color w:val="000000"/>
      <w:kern w:val="2"/>
      <w:sz w:val="18"/>
      <w:szCs w:val="18"/>
    </w:rPr>
  </w:style>
  <w:style w:type="paragraph" w:customStyle="1" w:styleId="48">
    <w:name w:val="图样式"/>
    <w:basedOn w:val="1"/>
    <w:autoRedefine/>
    <w:qFormat/>
    <w:uiPriority w:val="0"/>
    <w:pPr>
      <w:ind w:left="840" w:hanging="840"/>
      <w:jc w:val="center"/>
    </w:pPr>
    <w:rPr>
      <w:sz w:val="18"/>
      <w:szCs w:val="22"/>
    </w:rPr>
  </w:style>
  <w:style w:type="paragraph" w:customStyle="1" w:styleId="49">
    <w:name w:val="TOC 标题1"/>
    <w:basedOn w:val="1"/>
    <w:next w:val="1"/>
    <w:autoRedefine/>
    <w:unhideWhenUsed/>
    <w:qFormat/>
    <w:uiPriority w:val="39"/>
    <w:pPr>
      <w:widowControl/>
      <w:ind w:firstLine="0" w:firstLineChars="0"/>
      <w:jc w:val="center"/>
    </w:pPr>
    <w:rPr>
      <w:rFonts w:asciiTheme="majorHAnsi" w:hAnsiTheme="majorHAnsi" w:cstheme="majorBidi"/>
      <w:color w:val="2E75B6" w:themeColor="accent1" w:themeShade="BF"/>
      <w:sz w:val="30"/>
      <w:szCs w:val="32"/>
    </w:rPr>
  </w:style>
  <w:style w:type="paragraph" w:customStyle="1" w:styleId="50">
    <w:name w:val="列表段落1"/>
    <w:basedOn w:val="1"/>
    <w:link w:val="51"/>
    <w:autoRedefine/>
    <w:qFormat/>
    <w:uiPriority w:val="34"/>
    <w:pPr>
      <w:ind w:firstLine="420"/>
    </w:pPr>
  </w:style>
  <w:style w:type="character" w:customStyle="1" w:styleId="51">
    <w:name w:val="列表段落 字符"/>
    <w:link w:val="50"/>
    <w:autoRedefine/>
    <w:qFormat/>
    <w:uiPriority w:val="34"/>
    <w:rPr>
      <w:rFonts w:ascii="宋体" w:hAnsi="宋体"/>
      <w:sz w:val="21"/>
      <w:szCs w:val="21"/>
    </w:rPr>
  </w:style>
  <w:style w:type="paragraph" w:customStyle="1" w:styleId="52">
    <w:name w:val="文内正文"/>
    <w:basedOn w:val="50"/>
    <w:link w:val="53"/>
    <w:autoRedefine/>
    <w:qFormat/>
    <w:uiPriority w:val="0"/>
    <w:pPr>
      <w:widowControl/>
      <w:ind w:firstLine="200"/>
      <w:jc w:val="left"/>
    </w:pPr>
    <w:rPr>
      <w:rFonts w:cs="宋体"/>
      <w:szCs w:val="24"/>
    </w:rPr>
  </w:style>
  <w:style w:type="character" w:customStyle="1" w:styleId="53">
    <w:name w:val="文内正文 字符"/>
    <w:basedOn w:val="33"/>
    <w:link w:val="52"/>
    <w:autoRedefine/>
    <w:qFormat/>
    <w:uiPriority w:val="0"/>
    <w:rPr>
      <w:rFonts w:ascii="宋体" w:hAnsi="宋体" w:cs="宋体"/>
      <w:sz w:val="21"/>
      <w:szCs w:val="24"/>
    </w:rPr>
  </w:style>
  <w:style w:type="character" w:customStyle="1" w:styleId="54">
    <w:name w:val="脚注文本 字符"/>
    <w:basedOn w:val="33"/>
    <w:link w:val="25"/>
    <w:autoRedefine/>
    <w:qFormat/>
    <w:uiPriority w:val="0"/>
    <w:rPr>
      <w:rFonts w:ascii="宋体" w:hAnsi="宋体" w:cs="宋体"/>
      <w:sz w:val="18"/>
      <w:szCs w:val="18"/>
    </w:rPr>
  </w:style>
  <w:style w:type="paragraph" w:customStyle="1" w:styleId="55">
    <w:name w:val="术语2.1"/>
    <w:basedOn w:val="1"/>
    <w:autoRedefine/>
    <w:qFormat/>
    <w:uiPriority w:val="0"/>
    <w:pPr>
      <w:keepNext/>
      <w:widowControl/>
      <w:numPr>
        <w:ilvl w:val="1"/>
        <w:numId w:val="4"/>
      </w:numPr>
      <w:ind w:firstLineChars="0"/>
      <w:jc w:val="left"/>
    </w:pPr>
    <w:rPr>
      <w:rFonts w:ascii="黑体" w:eastAsia="黑体" w:cs="宋体"/>
      <w:szCs w:val="24"/>
    </w:rPr>
  </w:style>
  <w:style w:type="paragraph" w:customStyle="1" w:styleId="56">
    <w:name w:val="图片下标"/>
    <w:basedOn w:val="14"/>
    <w:link w:val="57"/>
    <w:autoRedefine/>
    <w:qFormat/>
    <w:uiPriority w:val="0"/>
    <w:pPr>
      <w:widowControl/>
      <w:numPr>
        <w:ilvl w:val="0"/>
        <w:numId w:val="5"/>
      </w:numPr>
    </w:pPr>
    <w:rPr>
      <w:rFonts w:cs="Arial"/>
      <w:szCs w:val="18"/>
    </w:rPr>
  </w:style>
  <w:style w:type="character" w:customStyle="1" w:styleId="57">
    <w:name w:val="图片下标 字符"/>
    <w:basedOn w:val="43"/>
    <w:link w:val="56"/>
    <w:autoRedefine/>
    <w:qFormat/>
    <w:uiPriority w:val="0"/>
    <w:rPr>
      <w:rFonts w:ascii="宋体" w:hAnsi="宋体" w:cs="Arial"/>
      <w:sz w:val="18"/>
      <w:szCs w:val="18"/>
    </w:rPr>
  </w:style>
  <w:style w:type="paragraph" w:customStyle="1" w:styleId="58">
    <w:name w:val="Section7"/>
    <w:basedOn w:val="10"/>
    <w:autoRedefine/>
    <w:qFormat/>
    <w:uiPriority w:val="0"/>
    <w:pPr>
      <w:numPr>
        <w:ilvl w:val="0"/>
        <w:numId w:val="0"/>
      </w:numPr>
      <w:tabs>
        <w:tab w:val="left" w:pos="1159"/>
        <w:tab w:val="left" w:pos="1296"/>
        <w:tab w:val="clear" w:pos="432"/>
      </w:tabs>
      <w:spacing w:before="240" w:after="64" w:line="320" w:lineRule="auto"/>
      <w:ind w:left="1296" w:hanging="1296"/>
      <w:jc w:val="left"/>
    </w:pPr>
    <w:rPr>
      <w:rFonts w:cs="宋体"/>
      <w:iCs w:val="0"/>
      <w:color w:val="auto"/>
      <w:szCs w:val="24"/>
      <w:lang w:eastAsia="zh-CN" w:bidi="ar-SA"/>
    </w:rPr>
  </w:style>
  <w:style w:type="paragraph" w:customStyle="1" w:styleId="59">
    <w:name w:val="Section8"/>
    <w:basedOn w:val="11"/>
    <w:autoRedefine/>
    <w:qFormat/>
    <w:uiPriority w:val="0"/>
    <w:pPr>
      <w:widowControl/>
      <w:numPr>
        <w:ilvl w:val="0"/>
        <w:numId w:val="0"/>
      </w:numPr>
      <w:tabs>
        <w:tab w:val="left" w:pos="1303"/>
        <w:tab w:val="left" w:pos="1440"/>
        <w:tab w:val="clear" w:pos="432"/>
      </w:tabs>
      <w:spacing w:before="240" w:after="64" w:line="320" w:lineRule="auto"/>
      <w:ind w:left="1440" w:hanging="1440"/>
      <w:jc w:val="left"/>
    </w:pPr>
    <w:rPr>
      <w:rFonts w:ascii="Times New Roman" w:hAnsi="Times New Roman" w:cs="宋体"/>
      <w:bCs/>
      <w:szCs w:val="24"/>
    </w:rPr>
  </w:style>
  <w:style w:type="paragraph" w:customStyle="1" w:styleId="60">
    <w:name w:val="文内标题一"/>
    <w:basedOn w:val="3"/>
    <w:autoRedefine/>
    <w:qFormat/>
    <w:uiPriority w:val="0"/>
    <w:pPr>
      <w:keepNext w:val="0"/>
      <w:keepLines w:val="0"/>
      <w:widowControl/>
      <w:numPr>
        <w:numId w:val="0"/>
      </w:numPr>
      <w:ind w:left="1134" w:hanging="1134"/>
    </w:pPr>
    <w:rPr>
      <w:rFonts w:ascii="宋体" w:hAnsi="宋体" w:cstheme="minorBidi"/>
    </w:rPr>
  </w:style>
  <w:style w:type="paragraph" w:customStyle="1" w:styleId="61">
    <w:name w:val="文内标题二"/>
    <w:basedOn w:val="5"/>
    <w:autoRedefine/>
    <w:qFormat/>
    <w:uiPriority w:val="0"/>
    <w:pPr>
      <w:numPr>
        <w:ilvl w:val="0"/>
        <w:numId w:val="0"/>
      </w:numPr>
      <w:tabs>
        <w:tab w:val="clear" w:pos="432"/>
      </w:tabs>
      <w:ind w:left="1134" w:hanging="1134"/>
    </w:pPr>
    <w:rPr>
      <w:rFonts w:ascii="Times New Roman" w:hAnsi="Times New Roman" w:cstheme="majorBidi"/>
    </w:rPr>
  </w:style>
  <w:style w:type="paragraph" w:customStyle="1" w:styleId="62">
    <w:name w:val="文内标题三"/>
    <w:basedOn w:val="6"/>
    <w:link w:val="63"/>
    <w:autoRedefine/>
    <w:qFormat/>
    <w:uiPriority w:val="0"/>
    <w:pPr>
      <w:widowControl/>
      <w:numPr>
        <w:ilvl w:val="0"/>
        <w:numId w:val="0"/>
      </w:numPr>
      <w:tabs>
        <w:tab w:val="left" w:pos="720"/>
        <w:tab w:val="clear" w:pos="432"/>
        <w:tab w:val="clear" w:pos="578"/>
      </w:tabs>
      <w:jc w:val="left"/>
    </w:pPr>
    <w:rPr>
      <w:rFonts w:cstheme="minorBidi"/>
      <w:kern w:val="2"/>
      <w:szCs w:val="24"/>
    </w:rPr>
  </w:style>
  <w:style w:type="character" w:customStyle="1" w:styleId="63">
    <w:name w:val="文内标题三 字符"/>
    <w:basedOn w:val="38"/>
    <w:link w:val="62"/>
    <w:autoRedefine/>
    <w:qFormat/>
    <w:uiPriority w:val="0"/>
    <w:rPr>
      <w:rFonts w:ascii="宋体" w:hAnsi="宋体" w:eastAsia="宋体" w:cstheme="minorBidi"/>
      <w:kern w:val="2"/>
      <w:sz w:val="24"/>
      <w:szCs w:val="24"/>
    </w:rPr>
  </w:style>
  <w:style w:type="paragraph" w:customStyle="1" w:styleId="64">
    <w:name w:val="文内标题四"/>
    <w:basedOn w:val="65"/>
    <w:autoRedefine/>
    <w:qFormat/>
    <w:uiPriority w:val="0"/>
    <w:pPr>
      <w:widowControl/>
      <w:tabs>
        <w:tab w:val="left" w:pos="295"/>
        <w:tab w:val="left" w:pos="720"/>
        <w:tab w:val="left" w:pos="727"/>
        <w:tab w:val="left" w:pos="864"/>
      </w:tabs>
      <w:ind w:left="1134" w:hanging="1134"/>
      <w:jc w:val="left"/>
    </w:pPr>
    <w:rPr>
      <w:rFonts w:cs="宋体"/>
    </w:rPr>
  </w:style>
  <w:style w:type="paragraph" w:customStyle="1" w:styleId="65">
    <w:name w:val="Section4"/>
    <w:basedOn w:val="7"/>
    <w:autoRedefine/>
    <w:qFormat/>
    <w:uiPriority w:val="0"/>
    <w:pPr>
      <w:numPr>
        <w:ilvl w:val="0"/>
        <w:numId w:val="0"/>
      </w:numPr>
      <w:tabs>
        <w:tab w:val="clear" w:pos="432"/>
      </w:tabs>
    </w:pPr>
    <w:rPr>
      <w:rFonts w:ascii="Times New Roman" w:hAnsi="Times New Roman"/>
      <w:sz w:val="30"/>
    </w:rPr>
  </w:style>
  <w:style w:type="paragraph" w:customStyle="1" w:styleId="66">
    <w:name w:val="正文内容"/>
    <w:basedOn w:val="1"/>
    <w:autoRedefine/>
    <w:qFormat/>
    <w:uiPriority w:val="0"/>
    <w:pPr>
      <w:widowControl/>
      <w:ind w:left="210" w:right="210" w:firstLine="504"/>
      <w:jc w:val="left"/>
    </w:pPr>
    <w:rPr>
      <w:rFonts w:cs="宋体"/>
      <w:spacing w:val="6"/>
      <w:szCs w:val="24"/>
    </w:rPr>
  </w:style>
  <w:style w:type="character" w:customStyle="1" w:styleId="67">
    <w:name w:val="正文文本缩进 字符"/>
    <w:basedOn w:val="33"/>
    <w:link w:val="16"/>
    <w:autoRedefine/>
    <w:qFormat/>
    <w:uiPriority w:val="0"/>
    <w:rPr>
      <w:rFonts w:ascii="宋体" w:hAnsi="宋体"/>
      <w:sz w:val="21"/>
      <w:szCs w:val="21"/>
    </w:rPr>
  </w:style>
  <w:style w:type="character" w:customStyle="1" w:styleId="68">
    <w:name w:val="纯文本 字符"/>
    <w:basedOn w:val="33"/>
    <w:link w:val="19"/>
    <w:autoRedefine/>
    <w:qFormat/>
    <w:uiPriority w:val="0"/>
    <w:rPr>
      <w:rFonts w:hAnsi="Courier New" w:asciiTheme="minorHAnsi" w:eastAsiaTheme="minorEastAsia" w:cstheme="minorBidi"/>
      <w:kern w:val="2"/>
      <w:sz w:val="21"/>
    </w:rPr>
  </w:style>
  <w:style w:type="paragraph" w:customStyle="1" w:styleId="69">
    <w:name w:val="图表内容"/>
    <w:basedOn w:val="1"/>
    <w:autoRedefine/>
    <w:qFormat/>
    <w:uiPriority w:val="0"/>
    <w:pPr>
      <w:framePr w:wrap="around" w:vAnchor="text" w:hAnchor="text" w:xAlign="center" w:y="1"/>
      <w:widowControl/>
      <w:spacing w:before="20" w:after="20"/>
      <w:ind w:firstLine="0" w:firstLineChars="0"/>
      <w:jc w:val="center"/>
    </w:pPr>
    <w:rPr>
      <w:rFonts w:cs="宋体"/>
      <w:szCs w:val="20"/>
    </w:rPr>
  </w:style>
  <w:style w:type="character" w:customStyle="1" w:styleId="70">
    <w:name w:val="未处理的提及1"/>
    <w:basedOn w:val="33"/>
    <w:autoRedefine/>
    <w:unhideWhenUsed/>
    <w:qFormat/>
    <w:uiPriority w:val="99"/>
    <w:rPr>
      <w:color w:val="605E5C"/>
      <w:shd w:val="clear" w:color="auto" w:fill="E1DFDD"/>
    </w:rPr>
  </w:style>
  <w:style w:type="character" w:customStyle="1" w:styleId="71">
    <w:name w:val="未处理的提及2"/>
    <w:basedOn w:val="33"/>
    <w:autoRedefine/>
    <w:unhideWhenUsed/>
    <w:qFormat/>
    <w:uiPriority w:val="99"/>
    <w:rPr>
      <w:color w:val="605E5C"/>
      <w:shd w:val="clear" w:color="auto" w:fill="E1DFDD"/>
    </w:rPr>
  </w:style>
  <w:style w:type="paragraph" w:customStyle="1" w:styleId="72">
    <w:name w:val="p1"/>
    <w:basedOn w:val="1"/>
    <w:qFormat/>
    <w:uiPriority w:val="0"/>
    <w:pPr>
      <w:jc w:val="left"/>
    </w:pPr>
    <w:rPr>
      <w:rFonts w:ascii="PingFang SC" w:hAnsi="PingFang SC" w:eastAsia="PingFang SC"/>
      <w:color w:val="121416"/>
      <w:sz w:val="28"/>
      <w:szCs w:val="28"/>
    </w:rPr>
  </w:style>
  <w:style w:type="paragraph" w:styleId="73">
    <w:name w:val="List Paragraph"/>
    <w:basedOn w:val="1"/>
    <w:autoRedefine/>
    <w:qFormat/>
    <w:uiPriority w:val="34"/>
    <w:pPr>
      <w:ind w:firstLine="420"/>
    </w:pPr>
  </w:style>
  <w:style w:type="character" w:customStyle="1" w:styleId="74">
    <w:name w:val="未处理的提及3"/>
    <w:basedOn w:val="33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75">
    <w:name w:val="未处理的提及4"/>
    <w:basedOn w:val="33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76">
    <w:name w:val="未处理的提及5"/>
    <w:basedOn w:val="33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77">
    <w:name w:val="Unresolved Mention"/>
    <w:basedOn w:val="33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78">
    <w:name w:val="15"/>
    <w:basedOn w:val="33"/>
    <w:autoRedefine/>
    <w:qFormat/>
    <w:uiPriority w:val="0"/>
    <w:rPr>
      <w:rFonts w:hint="default" w:ascii="Times New Roman" w:hAnsi="Times New Roman" w:cs="Times New Roman"/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3" Type="http://schemas.openxmlformats.org/officeDocument/2006/relationships/fontTable" Target="fontTable.xml"/><Relationship Id="rId62" Type="http://schemas.openxmlformats.org/officeDocument/2006/relationships/customXml" Target="../customXml/item2.xml"/><Relationship Id="rId61" Type="http://schemas.openxmlformats.org/officeDocument/2006/relationships/numbering" Target="numbering.xml"/><Relationship Id="rId60" Type="http://schemas.openxmlformats.org/officeDocument/2006/relationships/customXml" Target="../customXml/item1.xml"/><Relationship Id="rId6" Type="http://schemas.openxmlformats.org/officeDocument/2006/relationships/header" Target="header2.xml"/><Relationship Id="rId59" Type="http://schemas.openxmlformats.org/officeDocument/2006/relationships/image" Target="media/image45.png"/><Relationship Id="rId58" Type="http://schemas.openxmlformats.org/officeDocument/2006/relationships/image" Target="media/image44.png"/><Relationship Id="rId57" Type="http://schemas.openxmlformats.org/officeDocument/2006/relationships/image" Target="media/image43.png"/><Relationship Id="rId56" Type="http://schemas.openxmlformats.org/officeDocument/2006/relationships/image" Target="media/image42.png"/><Relationship Id="rId55" Type="http://schemas.openxmlformats.org/officeDocument/2006/relationships/image" Target="media/image41.png"/><Relationship Id="rId54" Type="http://schemas.openxmlformats.org/officeDocument/2006/relationships/image" Target="media/image40.png"/><Relationship Id="rId53" Type="http://schemas.openxmlformats.org/officeDocument/2006/relationships/image" Target="media/image39.png"/><Relationship Id="rId52" Type="http://schemas.openxmlformats.org/officeDocument/2006/relationships/image" Target="media/image38.png"/><Relationship Id="rId51" Type="http://schemas.openxmlformats.org/officeDocument/2006/relationships/image" Target="media/image37.png"/><Relationship Id="rId50" Type="http://schemas.openxmlformats.org/officeDocument/2006/relationships/image" Target="media/image36.png"/><Relationship Id="rId5" Type="http://schemas.openxmlformats.org/officeDocument/2006/relationships/header" Target="header1.xml"/><Relationship Id="rId49" Type="http://schemas.openxmlformats.org/officeDocument/2006/relationships/image" Target="media/image35.png"/><Relationship Id="rId48" Type="http://schemas.openxmlformats.org/officeDocument/2006/relationships/image" Target="media/image34.png"/><Relationship Id="rId47" Type="http://schemas.openxmlformats.org/officeDocument/2006/relationships/image" Target="media/image33.png"/><Relationship Id="rId46" Type="http://schemas.openxmlformats.org/officeDocument/2006/relationships/image" Target="media/image32.png"/><Relationship Id="rId45" Type="http://schemas.openxmlformats.org/officeDocument/2006/relationships/image" Target="media/image31.png"/><Relationship Id="rId44" Type="http://schemas.openxmlformats.org/officeDocument/2006/relationships/image" Target="media/image30.png"/><Relationship Id="rId43" Type="http://schemas.openxmlformats.org/officeDocument/2006/relationships/image" Target="media/image29.png"/><Relationship Id="rId42" Type="http://schemas.openxmlformats.org/officeDocument/2006/relationships/image" Target="media/image28.png"/><Relationship Id="rId41" Type="http://schemas.openxmlformats.org/officeDocument/2006/relationships/image" Target="media/image27.png"/><Relationship Id="rId40" Type="http://schemas.openxmlformats.org/officeDocument/2006/relationships/image" Target="media/image26.png"/><Relationship Id="rId4" Type="http://schemas.openxmlformats.org/officeDocument/2006/relationships/endnotes" Target="endnotes.xml"/><Relationship Id="rId39" Type="http://schemas.openxmlformats.org/officeDocument/2006/relationships/image" Target="media/image25.png"/><Relationship Id="rId38" Type="http://schemas.openxmlformats.org/officeDocument/2006/relationships/image" Target="media/image24.png"/><Relationship Id="rId37" Type="http://schemas.openxmlformats.org/officeDocument/2006/relationships/image" Target="media/image23.png"/><Relationship Id="rId36" Type="http://schemas.openxmlformats.org/officeDocument/2006/relationships/image" Target="media/image22.png"/><Relationship Id="rId35" Type="http://schemas.openxmlformats.org/officeDocument/2006/relationships/image" Target="media/image21.png"/><Relationship Id="rId34" Type="http://schemas.openxmlformats.org/officeDocument/2006/relationships/image" Target="media/image20.png"/><Relationship Id="rId33" Type="http://schemas.openxmlformats.org/officeDocument/2006/relationships/image" Target="media/image19.png"/><Relationship Id="rId32" Type="http://schemas.openxmlformats.org/officeDocument/2006/relationships/image" Target="media/image18.png"/><Relationship Id="rId31" Type="http://schemas.openxmlformats.org/officeDocument/2006/relationships/image" Target="media/image17.png"/><Relationship Id="rId30" Type="http://schemas.openxmlformats.org/officeDocument/2006/relationships/image" Target="media/image16.png"/><Relationship Id="rId3" Type="http://schemas.openxmlformats.org/officeDocument/2006/relationships/footnotes" Target="footnotes.xml"/><Relationship Id="rId29" Type="http://schemas.openxmlformats.org/officeDocument/2006/relationships/image" Target="media/image15.png"/><Relationship Id="rId28" Type="http://schemas.openxmlformats.org/officeDocument/2006/relationships/image" Target="media/image14.png"/><Relationship Id="rId27" Type="http://schemas.openxmlformats.org/officeDocument/2006/relationships/image" Target="media/image13.png"/><Relationship Id="rId26" Type="http://schemas.openxmlformats.org/officeDocument/2006/relationships/image" Target="media/image12.png"/><Relationship Id="rId25" Type="http://schemas.openxmlformats.org/officeDocument/2006/relationships/image" Target="media/image11.png"/><Relationship Id="rId24" Type="http://schemas.openxmlformats.org/officeDocument/2006/relationships/image" Target="media/image10.png"/><Relationship Id="rId23" Type="http://schemas.openxmlformats.org/officeDocument/2006/relationships/image" Target="media/image9.png"/><Relationship Id="rId22" Type="http://schemas.openxmlformats.org/officeDocument/2006/relationships/image" Target="media/image8.png"/><Relationship Id="rId21" Type="http://schemas.openxmlformats.org/officeDocument/2006/relationships/image" Target="media/image7.png"/><Relationship Id="rId20" Type="http://schemas.openxmlformats.org/officeDocument/2006/relationships/image" Target="media/image6.png"/><Relationship Id="rId2" Type="http://schemas.openxmlformats.org/officeDocument/2006/relationships/settings" Target="settings.xml"/><Relationship Id="rId19" Type="http://schemas.openxmlformats.org/officeDocument/2006/relationships/image" Target="media/image5.png"/><Relationship Id="rId18" Type="http://schemas.openxmlformats.org/officeDocument/2006/relationships/image" Target="media/image4.png"/><Relationship Id="rId17" Type="http://schemas.openxmlformats.org/officeDocument/2006/relationships/image" Target="media/image3.png"/><Relationship Id="rId16" Type="http://schemas.openxmlformats.org/officeDocument/2006/relationships/image" Target="media/image2.png"/><Relationship Id="rId15" Type="http://schemas.openxmlformats.org/officeDocument/2006/relationships/image" Target="media/image1.png"/><Relationship Id="rId14" Type="http://schemas.openxmlformats.org/officeDocument/2006/relationships/theme" Target="theme/theme1.xml"/><Relationship Id="rId13" Type="http://schemas.openxmlformats.org/officeDocument/2006/relationships/footer" Target="footer5.xml"/><Relationship Id="rId12" Type="http://schemas.openxmlformats.org/officeDocument/2006/relationships/header" Target="header4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4F7DF6E-677D-40A5-A53A-7F6D0AB9F53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2552</Words>
  <Characters>2660</Characters>
  <Lines>47</Lines>
  <Paragraphs>13</Paragraphs>
  <TotalTime>0</TotalTime>
  <ScaleCrop>false</ScaleCrop>
  <LinksUpToDate>false</LinksUpToDate>
  <CharactersWithSpaces>2696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2022-05-18T08:55:00Z</dcterms:created>
  <dc:creator>powersi</dc:creator>
  <cp:lastModifiedBy>chase</cp:lastModifiedBy>
  <dcterms:modified xsi:type="dcterms:W3CDTF">2024-04-19T09:07:52Z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28D05B9B46004B73BF2D6742BD5EBAC1</vt:lpwstr>
  </property>
</Properties>
</file>