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4" w:afterLines="200" w:line="480" w:lineRule="auto"/>
        <w:ind w:firstLine="0" w:firstLineChars="0"/>
        <w:rPr>
          <w:rFonts w:cs="宋体"/>
          <w:b/>
          <w:color w:val="FF0000"/>
          <w:sz w:val="44"/>
          <w:szCs w:val="44"/>
        </w:rPr>
      </w:pPr>
      <w:bookmarkStart w:id="0" w:name="_Hlk10968745"/>
      <w:bookmarkEnd w:id="0"/>
      <w:r>
        <w:rPr>
          <w:rFonts w:hint="eastAsia" w:cs="宋体"/>
          <w:b/>
          <w:color w:val="FF0000"/>
          <w:sz w:val="44"/>
          <w:szCs w:val="44"/>
        </w:rPr>
        <w:t xml:space="preserve">  </w:t>
      </w:r>
    </w:p>
    <w:p>
      <w:pPr>
        <w:spacing w:after="624" w:afterLines="200" w:line="480" w:lineRule="auto"/>
        <w:ind w:firstLine="0" w:firstLineChars="0"/>
        <w:jc w:val="center"/>
        <w:rPr>
          <w:rFonts w:hint="default" w:eastAsia="宋体" w:cs="宋体"/>
          <w:b/>
          <w:sz w:val="52"/>
          <w:szCs w:val="52"/>
          <w:lang w:val="en-US" w:eastAsia="zh-CN"/>
        </w:rPr>
      </w:pPr>
      <w:r>
        <w:rPr>
          <w:rFonts w:hint="eastAsia" w:cs="宋体"/>
          <w:b/>
          <w:sz w:val="56"/>
          <w:szCs w:val="24"/>
        </w:rPr>
        <w:t>中药配方颗粒</w:t>
      </w:r>
      <w:r>
        <w:rPr>
          <w:rFonts w:hint="eastAsia" w:cs="宋体"/>
          <w:b/>
          <w:sz w:val="56"/>
          <w:szCs w:val="24"/>
          <w:lang w:val="en-US" w:eastAsia="zh-CN"/>
        </w:rPr>
        <w:t>交易系统</w:t>
      </w:r>
    </w:p>
    <w:p>
      <w:pPr>
        <w:spacing w:after="624" w:afterLines="200" w:line="480" w:lineRule="auto"/>
        <w:ind w:firstLine="0" w:firstLineChars="0"/>
        <w:jc w:val="center"/>
        <w:rPr>
          <w:rFonts w:cs="宋体"/>
          <w:b/>
          <w:sz w:val="48"/>
        </w:rPr>
      </w:pPr>
      <w:r>
        <w:rPr>
          <w:rFonts w:hint="eastAsia" w:cs="宋体"/>
          <w:b/>
          <w:sz w:val="48"/>
          <w:lang w:val="en-US" w:eastAsia="zh-CN"/>
        </w:rPr>
        <w:t>操作</w:t>
      </w:r>
      <w:r>
        <w:rPr>
          <w:rFonts w:hint="eastAsia" w:cs="宋体"/>
          <w:b/>
          <w:sz w:val="48"/>
        </w:rPr>
        <w:t>手册</w:t>
      </w:r>
    </w:p>
    <w:p>
      <w:pPr>
        <w:spacing w:after="624" w:afterLines="200"/>
        <w:ind w:firstLine="0" w:firstLineChars="0"/>
        <w:jc w:val="center"/>
        <w:rPr>
          <w:rFonts w:cs="宋体"/>
          <w:b/>
          <w:sz w:val="32"/>
          <w:szCs w:val="16"/>
        </w:rPr>
      </w:pPr>
      <w:r>
        <w:rPr>
          <w:rFonts w:hint="eastAsia" w:cs="宋体"/>
          <w:b/>
          <w:sz w:val="32"/>
          <w:szCs w:val="16"/>
        </w:rPr>
        <w:t>（V1.0）</w:t>
      </w:r>
      <w:bookmarkStart w:id="44" w:name="_GoBack"/>
      <w:bookmarkEnd w:id="44"/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2022年08月</w:t>
      </w:r>
    </w:p>
    <w:p>
      <w:pPr>
        <w:spacing w:line="480" w:lineRule="auto"/>
        <w:ind w:firstLine="0" w:firstLineChars="0"/>
        <w:jc w:val="center"/>
        <w:rPr>
          <w:rFonts w:cs="宋体"/>
          <w:b/>
          <w:bCs/>
          <w:sz w:val="30"/>
          <w:szCs w:val="3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701" w:bottom="1417" w:left="1701" w:header="851" w:footer="992" w:gutter="0"/>
          <w:pgNumType w:fmt="upperRoman" w:start="1"/>
          <w:cols w:space="0" w:num="1"/>
          <w:docGrid w:type="lines" w:linePitch="312" w:charSpace="0"/>
        </w:sectPr>
      </w:pPr>
    </w:p>
    <w:p>
      <w:pPr>
        <w:ind w:firstLine="0" w:firstLineChars="0"/>
        <w:jc w:val="center"/>
        <w:rPr>
          <w:rFonts w:cs="宋体"/>
          <w:b/>
          <w:bCs/>
          <w:sz w:val="30"/>
          <w:szCs w:val="30"/>
        </w:rPr>
      </w:pPr>
      <w:r>
        <w:rPr>
          <w:rFonts w:hint="eastAsia" w:cs="宋体"/>
          <w:b/>
          <w:bCs/>
          <w:sz w:val="30"/>
          <w:szCs w:val="30"/>
          <w:lang w:val="zh-CN"/>
        </w:rPr>
        <w:t>目录</w:t>
      </w:r>
    </w:p>
    <w:p>
      <w:pPr>
        <w:pStyle w:val="23"/>
      </w:pPr>
      <w:r>
        <w:rPr>
          <w:rFonts w:hint="eastAsia" w:cs="宋体"/>
        </w:rPr>
        <w:fldChar w:fldCharType="begin"/>
      </w:r>
      <w:r>
        <w:rPr>
          <w:rFonts w:hint="eastAsia" w:cs="宋体"/>
        </w:rPr>
        <w:instrText xml:space="preserve"> TOC \o "1-3" \h \z \u </w:instrText>
      </w:r>
      <w:r>
        <w:rPr>
          <w:rFonts w:hint="eastAsia" w:cs="宋体"/>
        </w:rPr>
        <w:fldChar w:fldCharType="separate"/>
      </w:r>
      <w:r>
        <w:fldChar w:fldCharType="begin"/>
      </w:r>
      <w:r>
        <w:instrText xml:space="preserve"> HYPERLINK \l "_Toc25052" </w:instrText>
      </w:r>
      <w:r>
        <w:fldChar w:fldCharType="separate"/>
      </w:r>
      <w:r>
        <w:rPr>
          <w:rFonts w:hint="eastAsia" w:cs="宋体"/>
        </w:rPr>
        <w:t>1. 引言</w:t>
      </w:r>
      <w:r>
        <w:tab/>
      </w:r>
      <w:r>
        <w:fldChar w:fldCharType="begin"/>
      </w:r>
      <w:r>
        <w:instrText xml:space="preserve"> PAGEREF _Toc25052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"_Toc2199" </w:instrText>
      </w:r>
      <w:r>
        <w:fldChar w:fldCharType="separate"/>
      </w:r>
      <w:r>
        <w:rPr>
          <w:rFonts w:cs="宋体"/>
          <w:szCs w:val="32"/>
        </w:rPr>
        <w:t xml:space="preserve">1.1 </w:t>
      </w:r>
      <w:r>
        <w:rPr>
          <w:rFonts w:hint="eastAsia" w:cs="宋体"/>
        </w:rPr>
        <w:t>目的</w:t>
      </w:r>
      <w:r>
        <w:tab/>
      </w:r>
      <w:r>
        <w:fldChar w:fldCharType="begin"/>
      </w:r>
      <w:r>
        <w:instrText xml:space="preserve"> PAGEREF _Toc2199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"_Toc22179" </w:instrText>
      </w:r>
      <w:r>
        <w:fldChar w:fldCharType="separate"/>
      </w:r>
      <w:r>
        <w:rPr>
          <w:rFonts w:hint="eastAsia" w:cs="宋体"/>
        </w:rPr>
        <w:t>1.2 项目背景</w:t>
      </w:r>
      <w:r>
        <w:tab/>
      </w:r>
      <w:r>
        <w:fldChar w:fldCharType="begin"/>
      </w:r>
      <w:r>
        <w:instrText xml:space="preserve"> PAGEREF _Toc22179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"_Toc8308" </w:instrText>
      </w:r>
      <w:r>
        <w:fldChar w:fldCharType="separate"/>
      </w:r>
      <w:r>
        <w:rPr>
          <w:rFonts w:hint="eastAsia" w:cs="宋体"/>
        </w:rPr>
        <w:t>1.3 参考资料</w:t>
      </w:r>
      <w:r>
        <w:tab/>
      </w:r>
      <w:r>
        <w:fldChar w:fldCharType="begin"/>
      </w:r>
      <w:r>
        <w:instrText xml:space="preserve"> PAGEREF _Toc8308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</w:pPr>
      <w:r>
        <w:fldChar w:fldCharType="begin"/>
      </w:r>
      <w:r>
        <w:instrText xml:space="preserve"> HYPERLINK \l "_Toc30488" </w:instrText>
      </w:r>
      <w:r>
        <w:fldChar w:fldCharType="separate"/>
      </w:r>
      <w:r>
        <w:rPr>
          <w:rFonts w:hint="eastAsia" w:cs="宋体"/>
        </w:rPr>
        <w:t>2. 功能简介</w:t>
      </w:r>
      <w:r>
        <w:tab/>
      </w:r>
      <w:r>
        <w:fldChar w:fldCharType="begin"/>
      </w:r>
      <w:r>
        <w:instrText xml:space="preserve"> PAGEREF _Toc30488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"_Toc10008" </w:instrText>
      </w:r>
      <w:r>
        <w:fldChar w:fldCharType="separate"/>
      </w:r>
      <w:r>
        <w:rPr>
          <w:rFonts w:hint="eastAsia" w:cs="宋体"/>
        </w:rPr>
        <w:t>2.1 账号登录</w:t>
      </w:r>
      <w:r>
        <w:tab/>
      </w:r>
      <w:r>
        <w:fldChar w:fldCharType="begin"/>
      </w:r>
      <w:r>
        <w:instrText xml:space="preserve"> PAGEREF _Toc10008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</w:pPr>
      <w:r>
        <w:fldChar w:fldCharType="begin"/>
      </w:r>
      <w:r>
        <w:instrText xml:space="preserve"> HYPERLINK \l "_Toc19137" </w:instrText>
      </w:r>
      <w:r>
        <w:fldChar w:fldCharType="separate"/>
      </w:r>
      <w:r>
        <w:rPr>
          <w:rFonts w:hint="eastAsia" w:cs="宋体"/>
        </w:rPr>
        <w:t>3. 操作使用指南</w:t>
      </w:r>
      <w:r>
        <w:tab/>
      </w:r>
      <w:r>
        <w:fldChar w:fldCharType="begin"/>
      </w:r>
      <w:r>
        <w:instrText xml:space="preserve"> PAGEREF _Toc19137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"_Toc5754" </w:instrText>
      </w:r>
      <w:r>
        <w:fldChar w:fldCharType="separate"/>
      </w:r>
      <w:r>
        <w:rPr>
          <w:rFonts w:hint="eastAsia" w:cs="宋体"/>
        </w:rPr>
        <w:t>3.1 医疗机构</w:t>
      </w:r>
      <w:r>
        <w:tab/>
      </w:r>
      <w:r>
        <w:fldChar w:fldCharType="begin"/>
      </w:r>
      <w:r>
        <w:instrText xml:space="preserve"> PAGEREF _Toc5754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"_Toc23071" </w:instrText>
      </w:r>
      <w:r>
        <w:fldChar w:fldCharType="separate"/>
      </w:r>
      <w:r>
        <w:rPr>
          <w:rFonts w:cs="宋体"/>
        </w:rPr>
        <w:t xml:space="preserve">3.1.1 </w:t>
      </w:r>
      <w:r>
        <w:rPr>
          <w:rFonts w:hint="eastAsia" w:cs="宋体"/>
        </w:rPr>
        <w:t>功能描述</w:t>
      </w:r>
      <w:r>
        <w:tab/>
      </w:r>
      <w:r>
        <w:fldChar w:fldCharType="begin"/>
      </w:r>
      <w:r>
        <w:instrText xml:space="preserve"> PAGEREF _Toc23071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"_Toc31222" </w:instrText>
      </w:r>
      <w:r>
        <w:fldChar w:fldCharType="separate"/>
      </w:r>
      <w:r>
        <w:rPr>
          <w:rFonts w:cs="宋体"/>
        </w:rPr>
        <w:t xml:space="preserve">3.1.2 </w:t>
      </w:r>
      <w:r>
        <w:rPr>
          <w:rFonts w:hint="eastAsia" w:cs="宋体"/>
        </w:rPr>
        <w:t>操作权限</w:t>
      </w:r>
      <w:r>
        <w:tab/>
      </w:r>
      <w:r>
        <w:fldChar w:fldCharType="begin"/>
      </w:r>
      <w:r>
        <w:instrText xml:space="preserve"> PAGEREF _Toc31222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"_Toc31887" </w:instrText>
      </w:r>
      <w:r>
        <w:fldChar w:fldCharType="separate"/>
      </w:r>
      <w:r>
        <w:rPr>
          <w:rFonts w:cs="宋体"/>
        </w:rPr>
        <w:t xml:space="preserve">3.1.3 </w:t>
      </w:r>
      <w:r>
        <w:rPr>
          <w:rFonts w:hint="eastAsia" w:cs="宋体"/>
        </w:rPr>
        <w:t>操作流程</w:t>
      </w:r>
      <w:r>
        <w:tab/>
      </w:r>
      <w:r>
        <w:fldChar w:fldCharType="begin"/>
      </w:r>
      <w:r>
        <w:instrText xml:space="preserve"> PAGEREF _Toc31887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"_Toc10009" </w:instrText>
      </w:r>
      <w:r>
        <w:fldChar w:fldCharType="separate"/>
      </w:r>
      <w:r>
        <w:rPr>
          <w:rFonts w:cs="宋体"/>
        </w:rPr>
        <w:t xml:space="preserve">3.1.4 </w:t>
      </w:r>
      <w:r>
        <w:rPr>
          <w:rFonts w:hint="eastAsia" w:cs="宋体"/>
        </w:rPr>
        <w:t>注意事项</w:t>
      </w:r>
      <w:r>
        <w:tab/>
      </w:r>
      <w:r>
        <w:fldChar w:fldCharType="begin"/>
      </w:r>
      <w:r>
        <w:instrText xml:space="preserve"> PAGEREF _Toc10009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"_Toc18027" </w:instrText>
      </w:r>
      <w:r>
        <w:fldChar w:fldCharType="separate"/>
      </w:r>
      <w:r>
        <w:rPr>
          <w:rFonts w:hint="eastAsia" w:cs="宋体"/>
        </w:rPr>
        <w:t>3.2 生产企业</w:t>
      </w:r>
      <w:r>
        <w:tab/>
      </w:r>
      <w:r>
        <w:fldChar w:fldCharType="begin"/>
      </w:r>
      <w:r>
        <w:instrText xml:space="preserve"> PAGEREF _Toc18027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"_Toc10704" </w:instrText>
      </w:r>
      <w:r>
        <w:fldChar w:fldCharType="separate"/>
      </w:r>
      <w:r>
        <w:rPr>
          <w:rFonts w:cs="宋体"/>
        </w:rPr>
        <w:t xml:space="preserve">3.2.1 </w:t>
      </w:r>
      <w:r>
        <w:rPr>
          <w:rFonts w:hint="eastAsia" w:cs="宋体"/>
        </w:rPr>
        <w:t>功能描述</w:t>
      </w:r>
      <w:r>
        <w:tab/>
      </w:r>
      <w:r>
        <w:fldChar w:fldCharType="begin"/>
      </w:r>
      <w:r>
        <w:instrText xml:space="preserve"> PAGEREF _Toc10704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"_Toc8450" </w:instrText>
      </w:r>
      <w:r>
        <w:fldChar w:fldCharType="separate"/>
      </w:r>
      <w:r>
        <w:rPr>
          <w:rFonts w:cs="宋体"/>
        </w:rPr>
        <w:t xml:space="preserve">3.2.2 </w:t>
      </w:r>
      <w:r>
        <w:rPr>
          <w:rFonts w:hint="eastAsia" w:cs="宋体"/>
        </w:rPr>
        <w:t>操作权限</w:t>
      </w:r>
      <w:r>
        <w:tab/>
      </w:r>
      <w:r>
        <w:fldChar w:fldCharType="begin"/>
      </w:r>
      <w:r>
        <w:instrText xml:space="preserve"> PAGEREF _Toc8450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"_Toc26363" </w:instrText>
      </w:r>
      <w:r>
        <w:fldChar w:fldCharType="separate"/>
      </w:r>
      <w:r>
        <w:rPr>
          <w:rFonts w:cs="宋体"/>
        </w:rPr>
        <w:t xml:space="preserve">3.2.3 </w:t>
      </w:r>
      <w:r>
        <w:rPr>
          <w:rFonts w:hint="eastAsia" w:cs="宋体"/>
        </w:rPr>
        <w:t>操作流程</w:t>
      </w:r>
      <w:r>
        <w:tab/>
      </w:r>
      <w:r>
        <w:fldChar w:fldCharType="begin"/>
      </w:r>
      <w:r>
        <w:instrText xml:space="preserve"> PAGEREF _Toc26363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"_Toc9042" </w:instrText>
      </w:r>
      <w:r>
        <w:fldChar w:fldCharType="separate"/>
      </w:r>
      <w:r>
        <w:rPr>
          <w:rFonts w:cs="宋体"/>
        </w:rPr>
        <w:t xml:space="preserve">3.2.4 </w:t>
      </w:r>
      <w:r>
        <w:rPr>
          <w:rFonts w:hint="eastAsia" w:cs="宋体"/>
        </w:rPr>
        <w:t>注意事项</w:t>
      </w:r>
      <w:r>
        <w:tab/>
      </w:r>
      <w:r>
        <w:fldChar w:fldCharType="begin"/>
      </w:r>
      <w:r>
        <w:instrText xml:space="preserve"> PAGEREF _Toc9042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8788"/>
        </w:tabs>
      </w:pPr>
      <w:r>
        <w:fldChar w:fldCharType="begin"/>
      </w:r>
      <w:r>
        <w:instrText xml:space="preserve"> HYPERLINK \l "_Toc20663" </w:instrText>
      </w:r>
      <w:r>
        <w:fldChar w:fldCharType="separate"/>
      </w:r>
      <w:r>
        <w:rPr>
          <w:rFonts w:hint="eastAsia" w:cs="宋体"/>
        </w:rPr>
        <w:t>3.3 配送企业</w:t>
      </w:r>
      <w:r>
        <w:tab/>
      </w:r>
      <w:r>
        <w:fldChar w:fldCharType="begin"/>
      </w:r>
      <w:r>
        <w:instrText xml:space="preserve"> PAGEREF _Toc20663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"_Toc14775" </w:instrText>
      </w:r>
      <w:r>
        <w:fldChar w:fldCharType="separate"/>
      </w:r>
      <w:r>
        <w:rPr>
          <w:rFonts w:hint="eastAsia" w:cs="宋体"/>
        </w:rPr>
        <w:t>3.3.1功能描述</w:t>
      </w:r>
      <w:r>
        <w:tab/>
      </w:r>
      <w:r>
        <w:fldChar w:fldCharType="begin"/>
      </w:r>
      <w:r>
        <w:instrText xml:space="preserve"> PAGEREF _Toc14775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"_Toc8670" </w:instrText>
      </w:r>
      <w:r>
        <w:fldChar w:fldCharType="separate"/>
      </w:r>
      <w:r>
        <w:rPr>
          <w:rFonts w:hint="eastAsia" w:cs="宋体"/>
        </w:rPr>
        <w:t>3.3.2操作权限</w:t>
      </w:r>
      <w:r>
        <w:tab/>
      </w:r>
      <w:r>
        <w:fldChar w:fldCharType="begin"/>
      </w:r>
      <w:r>
        <w:instrText xml:space="preserve"> PAGEREF _Toc8670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"_Toc23526" </w:instrText>
      </w:r>
      <w:r>
        <w:fldChar w:fldCharType="separate"/>
      </w:r>
      <w:r>
        <w:rPr>
          <w:rFonts w:hint="eastAsia" w:cs="宋体"/>
        </w:rPr>
        <w:t>3.3.3操作流程</w:t>
      </w:r>
      <w:r>
        <w:tab/>
      </w:r>
      <w:r>
        <w:fldChar w:fldCharType="begin"/>
      </w:r>
      <w:r>
        <w:instrText xml:space="preserve"> PAGEREF _Toc23526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8"/>
      </w:pPr>
      <w:r>
        <w:fldChar w:fldCharType="begin"/>
      </w:r>
      <w:r>
        <w:instrText xml:space="preserve"> HYPERLINK \l "_Toc646" </w:instrText>
      </w:r>
      <w:r>
        <w:fldChar w:fldCharType="separate"/>
      </w:r>
      <w:r>
        <w:rPr>
          <w:rFonts w:hint="eastAsia" w:cs="宋体"/>
        </w:rPr>
        <w:t>3.3.4注意事项</w:t>
      </w:r>
      <w:r>
        <w:tab/>
      </w:r>
      <w:r>
        <w:fldChar w:fldCharType="begin"/>
      </w:r>
      <w:r>
        <w:instrText xml:space="preserve"> PAGEREF _Toc646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23"/>
      </w:pPr>
      <w:r>
        <w:fldChar w:fldCharType="begin"/>
      </w:r>
      <w:r>
        <w:instrText xml:space="preserve"> HYPERLINK \l "_Toc19439" </w:instrText>
      </w:r>
      <w:r>
        <w:fldChar w:fldCharType="separate"/>
      </w:r>
      <w:r>
        <w:rPr>
          <w:rFonts w:hint="eastAsia" w:cs="宋体"/>
        </w:rPr>
        <w:t>4. 常见问题解答</w:t>
      </w:r>
      <w:r>
        <w:tab/>
      </w:r>
      <w:r>
        <w:fldChar w:fldCharType="begin"/>
      </w:r>
      <w:r>
        <w:instrText xml:space="preserve"> PAGEREF _Toc19439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ind w:firstLine="420"/>
        <w:rPr>
          <w:rFonts w:cs="宋体"/>
        </w:rPr>
      </w:pPr>
      <w:r>
        <w:rPr>
          <w:rFonts w:hint="eastAsia" w:cs="宋体"/>
          <w:bCs/>
          <w:lang w:val="zh-CN"/>
        </w:rPr>
        <w:fldChar w:fldCharType="end"/>
      </w:r>
    </w:p>
    <w:p>
      <w:pPr>
        <w:ind w:firstLine="0" w:firstLineChars="0"/>
        <w:rPr>
          <w:rFonts w:cs="宋体"/>
        </w:rPr>
        <w:sectPr>
          <w:footerReference r:id="rId11" w:type="default"/>
          <w:pgSz w:w="11906" w:h="16838"/>
          <w:pgMar w:top="1417" w:right="1417" w:bottom="1417" w:left="1701" w:header="851" w:footer="992" w:gutter="0"/>
          <w:pgNumType w:fmt="upperRoman"/>
          <w:cols w:space="0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rPr>
          <w:rFonts w:ascii="宋体" w:hAnsi="宋体" w:cs="宋体"/>
        </w:rPr>
      </w:pPr>
      <w:bookmarkStart w:id="1" w:name="_Toc25052"/>
      <w:r>
        <w:rPr>
          <w:rFonts w:hint="eastAsia" w:ascii="宋体" w:hAnsi="宋体" w:cs="宋体"/>
        </w:rPr>
        <w:t>1. 引言</w:t>
      </w:r>
      <w:bookmarkEnd w:id="1"/>
    </w:p>
    <w:p>
      <w:pPr>
        <w:pStyle w:val="4"/>
        <w:ind w:left="0"/>
        <w:rPr>
          <w:rFonts w:cs="宋体"/>
        </w:rPr>
      </w:pPr>
      <w:bookmarkStart w:id="2" w:name="_Toc2199"/>
      <w:r>
        <w:rPr>
          <w:rFonts w:hint="eastAsia" w:cs="宋体"/>
        </w:rPr>
        <w:t>目的</w:t>
      </w:r>
      <w:bookmarkEnd w:id="2"/>
    </w:p>
    <w:p>
      <w:pPr>
        <w:ind w:firstLine="420"/>
        <w:rPr>
          <w:rFonts w:cs="宋体"/>
          <w:szCs w:val="22"/>
        </w:rPr>
      </w:pPr>
      <w:r>
        <w:rPr>
          <w:rFonts w:hint="eastAsia" w:cs="宋体"/>
          <w:szCs w:val="22"/>
        </w:rPr>
        <w:t>该手册是为了方便用户使用【中药颗粒】功能，阐明如何使用该功能，向用户解释该系统的作用或在必要时作为参考。预期读者为地方医保单位经办人员、医疗机构经办人员。</w:t>
      </w:r>
    </w:p>
    <w:p>
      <w:pPr>
        <w:pStyle w:val="4"/>
        <w:numPr>
          <w:ilvl w:val="0"/>
          <w:numId w:val="0"/>
        </w:numPr>
        <w:rPr>
          <w:rFonts w:cs="宋体"/>
        </w:rPr>
      </w:pPr>
      <w:bookmarkStart w:id="3" w:name="_Toc22179"/>
      <w:r>
        <w:rPr>
          <w:rFonts w:hint="eastAsia" w:cs="宋体"/>
        </w:rPr>
        <w:t>1.2 项目背景</w:t>
      </w:r>
      <w:bookmarkEnd w:id="3"/>
    </w:p>
    <w:p>
      <w:pPr>
        <w:pStyle w:val="30"/>
        <w:rPr>
          <w:rFonts w:cs="宋体"/>
          <w:sz w:val="21"/>
          <w:szCs w:val="16"/>
        </w:rPr>
      </w:pPr>
      <w:r>
        <w:rPr>
          <w:rFonts w:hint="eastAsia" w:cs="宋体"/>
          <w:sz w:val="21"/>
          <w:szCs w:val="16"/>
        </w:rPr>
        <w:t>国家医疗保障局以习近平新时代中国特色社会主义思想为指导，按照党中央、国务院的决策部署，面向医疗保障的重点领域和关键环节，持续推进全国医疗保障标准化、智能化和信息化。本项目重点加强顶层设计、统一业务标准、打造基础平台、做好数据汇集、强化协同共享，依托国家基础信息资源，国家统一电子政务网络及数据交换平台，建设全国统一的国家医疗保障信息平台，不断提高国家医保治理能力和服务水平，支撑消解新常态下我国医疗保障领域重点、难点、热点问题，为构建更加公平、更加可持续的医疗保障体系，全面实施医疗保障精准扶贫，积极推进医保与医疗、医药“三医联动”，助力提高医改整体效能和实施健康中国战略提供信息化支撑。</w:t>
      </w:r>
    </w:p>
    <w:p>
      <w:pPr>
        <w:pStyle w:val="30"/>
        <w:ind w:left="59" w:firstLineChars="0"/>
        <w:rPr>
          <w:rFonts w:cs="宋体"/>
          <w:sz w:val="21"/>
          <w:szCs w:val="16"/>
        </w:rPr>
      </w:pPr>
      <w:r>
        <w:rPr>
          <w:rFonts w:hint="eastAsia" w:cs="宋体"/>
          <w:sz w:val="21"/>
          <w:szCs w:val="16"/>
        </w:rPr>
        <w:t>针对医疗保障全民覆盖、需求刚性、主体多元、业务复杂、发展不均衡及在线化服务要求高、专业化治理难度大等特点，国家医疗保障信息平台将致力于消除医疗保障信息化领域数据鸿沟、信息孤岛、技术壁垒、应用烟囱、部门藩篱等信息系统碎片化问题，注重顶层设计、标准引领、数据汇聚、资源整合、服务融合、平台建设及能力输出。医疗保障信息平台建设内容包括标准规范体系建设、信息资源规划与数据库建设、14个业务系统的建设、基础设施建设以及1个应用支撑子系统的建设。</w:t>
      </w:r>
    </w:p>
    <w:p>
      <w:pPr>
        <w:pStyle w:val="30"/>
        <w:ind w:left="59" w:firstLineChars="0"/>
        <w:rPr>
          <w:rFonts w:cs="宋体"/>
          <w:sz w:val="21"/>
          <w:szCs w:val="16"/>
        </w:rPr>
      </w:pPr>
      <w:r>
        <w:rPr>
          <w:rFonts w:hint="eastAsia" w:cs="宋体"/>
          <w:sz w:val="21"/>
        </w:rPr>
        <w:t>医疗保障信息平台建成后将为13.6亿全国参保人员、约12万各级医保工作人员、3260个统筹区（包含400个市级+2860县级的统筹区）、366个经办机构（包含32个省级+334个市级）、2900万参保单位企业机构以及全国医院、药店以及药品和耗材厂家提供支持和服务。</w:t>
      </w:r>
    </w:p>
    <w:p>
      <w:pPr>
        <w:pStyle w:val="4"/>
        <w:numPr>
          <w:ilvl w:val="0"/>
          <w:numId w:val="0"/>
        </w:numPr>
        <w:rPr>
          <w:rFonts w:cs="宋体"/>
        </w:rPr>
      </w:pPr>
      <w:bookmarkStart w:id="4" w:name="_Toc8308"/>
      <w:r>
        <w:rPr>
          <w:rFonts w:hint="eastAsia" w:cs="宋体"/>
        </w:rPr>
        <w:t>1.3 参考资料</w:t>
      </w:r>
      <w:bookmarkEnd w:id="4"/>
    </w:p>
    <w:p>
      <w:pPr>
        <w:ind w:firstLine="420" w:firstLineChars="0"/>
        <w:rPr>
          <w:rFonts w:cs="宋体"/>
          <w:szCs w:val="18"/>
        </w:rPr>
      </w:pPr>
      <w:r>
        <w:rPr>
          <w:rFonts w:hint="eastAsia" w:cs="宋体"/>
          <w:szCs w:val="18"/>
        </w:rPr>
        <w:t>1、《文档标准编制规范》</w:t>
      </w:r>
    </w:p>
    <w:p>
      <w:pPr>
        <w:ind w:firstLine="420" w:firstLineChars="0"/>
        <w:rPr>
          <w:rFonts w:cs="宋体"/>
        </w:rPr>
      </w:pPr>
      <w:r>
        <w:rPr>
          <w:rFonts w:hint="eastAsia" w:cs="宋体"/>
          <w:sz w:val="24"/>
        </w:rPr>
        <w:t>2、</w:t>
      </w:r>
      <w:r>
        <w:rPr>
          <w:rFonts w:hint="eastAsia" w:cs="宋体"/>
        </w:rPr>
        <w:t>《药品和医用耗材招采管理子系统需求规格说明书》</w:t>
      </w:r>
    </w:p>
    <w:p>
      <w:pPr>
        <w:ind w:firstLine="420" w:firstLineChars="0"/>
        <w:rPr>
          <w:rFonts w:cs="宋体"/>
        </w:rPr>
      </w:pPr>
    </w:p>
    <w:p>
      <w:pPr>
        <w:ind w:firstLine="420" w:firstLineChars="0"/>
        <w:rPr>
          <w:rFonts w:cs="宋体"/>
        </w:rPr>
      </w:pPr>
    </w:p>
    <w:p>
      <w:pPr>
        <w:pStyle w:val="2"/>
        <w:numPr>
          <w:ilvl w:val="0"/>
          <w:numId w:val="0"/>
        </w:numPr>
        <w:rPr>
          <w:rFonts w:ascii="宋体" w:hAnsi="宋体" w:cs="宋体"/>
        </w:rPr>
      </w:pPr>
      <w:bookmarkStart w:id="5" w:name="_Toc30488"/>
      <w:r>
        <w:rPr>
          <w:rFonts w:hint="eastAsia" w:ascii="宋体" w:hAnsi="宋体" w:cs="宋体"/>
        </w:rPr>
        <w:t>2. 功能简介</w:t>
      </w:r>
      <w:bookmarkEnd w:id="5"/>
    </w:p>
    <w:p>
      <w:pPr>
        <w:pStyle w:val="4"/>
        <w:numPr>
          <w:ilvl w:val="0"/>
          <w:numId w:val="0"/>
        </w:numPr>
        <w:rPr>
          <w:rFonts w:cs="宋体"/>
        </w:rPr>
      </w:pPr>
      <w:bookmarkStart w:id="6" w:name="_Toc10008"/>
      <w:r>
        <w:rPr>
          <w:rFonts w:hint="eastAsia" w:cs="宋体"/>
        </w:rPr>
        <w:t>2.1 账号登录</w:t>
      </w:r>
      <w:bookmarkEnd w:id="6"/>
    </w:p>
    <w:p>
      <w:pPr>
        <w:ind w:firstLine="420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1、医保单位经办人员，通过门户输入系统账号、密码登录系统。</w:t>
      </w:r>
    </w:p>
    <w:p>
      <w:pPr>
        <w:pStyle w:val="25"/>
        <w:jc w:val="center"/>
        <w:rPr>
          <w:b/>
          <w:bCs/>
          <w:sz w:val="24"/>
          <w:szCs w:val="32"/>
        </w:rPr>
      </w:pPr>
      <w:r>
        <w:rPr>
          <w:rFonts w:hint="eastAsia"/>
        </w:rPr>
        <w:drawing>
          <wp:inline distT="0" distB="0" distL="0" distR="0">
            <wp:extent cx="5580380" cy="2849245"/>
            <wp:effectExtent l="0" t="0" r="1270" b="8255"/>
            <wp:docPr id="2988" name="图片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图片 29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2、医疗机构、生产企业通过公服，选择单位账号登录，输入账号密码进入系统</w:t>
      </w:r>
    </w:p>
    <w:p>
      <w:pPr>
        <w:pStyle w:val="25"/>
      </w:pPr>
      <w:r>
        <w:rPr>
          <w:rFonts w:hint="eastAsia"/>
        </w:rPr>
        <w:drawing>
          <wp:inline distT="0" distB="0" distL="0" distR="0">
            <wp:extent cx="5580380" cy="2816225"/>
            <wp:effectExtent l="0" t="0" r="1270" b="3175"/>
            <wp:docPr id="3001" name="图片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图片 3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宋体"/>
          <w:kern w:val="2"/>
          <w:szCs w:val="22"/>
        </w:rPr>
      </w:pPr>
      <w:r>
        <w:rPr>
          <w:rFonts w:hint="eastAsia" w:cs="宋体"/>
          <w:kern w:val="2"/>
          <w:szCs w:val="22"/>
        </w:rPr>
        <w:t>3、配送企业通过招采子系统，输入账号密码进入系统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ascii="宋体" w:hAnsi="宋体" w:cs="宋体"/>
        </w:rPr>
      </w:pPr>
      <w:bookmarkStart w:id="7" w:name="_Toc19137"/>
      <w:r>
        <w:rPr>
          <w:rFonts w:hint="eastAsia" w:ascii="宋体" w:hAnsi="宋体" w:cs="宋体"/>
        </w:rPr>
        <w:t>3. 操作使用指南</w:t>
      </w:r>
      <w:bookmarkEnd w:id="7"/>
    </w:p>
    <w:p>
      <w:pPr>
        <w:pStyle w:val="4"/>
        <w:numPr>
          <w:ilvl w:val="0"/>
          <w:numId w:val="0"/>
        </w:numPr>
        <w:rPr>
          <w:rFonts w:cs="宋体"/>
        </w:rPr>
      </w:pPr>
      <w:bookmarkStart w:id="8" w:name="_Toc5754"/>
      <w:r>
        <w:rPr>
          <w:rFonts w:hint="eastAsia" w:cs="宋体"/>
        </w:rPr>
        <w:t>3.1 医疗机构</w:t>
      </w:r>
      <w:bookmarkEnd w:id="8"/>
    </w:p>
    <w:p>
      <w:pPr>
        <w:pStyle w:val="71"/>
        <w:keepNext/>
        <w:keepLines/>
        <w:numPr>
          <w:ilvl w:val="0"/>
          <w:numId w:val="1"/>
        </w:numPr>
        <w:spacing w:before="60" w:after="60"/>
        <w:ind w:firstLineChars="0"/>
        <w:jc w:val="left"/>
        <w:outlineLvl w:val="0"/>
        <w:rPr>
          <w:rFonts w:cs="宋体"/>
          <w:b/>
          <w:bCs/>
          <w:vanish/>
          <w:kern w:val="44"/>
          <w:sz w:val="28"/>
          <w:szCs w:val="44"/>
        </w:rPr>
      </w:pPr>
      <w:bookmarkStart w:id="9" w:name="_Toc103956557"/>
      <w:bookmarkEnd w:id="9"/>
      <w:bookmarkStart w:id="10" w:name="_Toc103958795"/>
      <w:bookmarkEnd w:id="10"/>
    </w:p>
    <w:p>
      <w:pPr>
        <w:pStyle w:val="71"/>
        <w:keepNext/>
        <w:keepLines/>
        <w:numPr>
          <w:ilvl w:val="0"/>
          <w:numId w:val="1"/>
        </w:numPr>
        <w:spacing w:before="60" w:after="60"/>
        <w:ind w:firstLineChars="0"/>
        <w:jc w:val="left"/>
        <w:outlineLvl w:val="0"/>
        <w:rPr>
          <w:rFonts w:cs="宋体"/>
          <w:b/>
          <w:bCs/>
          <w:vanish/>
          <w:kern w:val="44"/>
          <w:sz w:val="28"/>
          <w:szCs w:val="44"/>
        </w:rPr>
      </w:pPr>
      <w:bookmarkStart w:id="11" w:name="_Toc103956558"/>
      <w:bookmarkEnd w:id="11"/>
      <w:bookmarkStart w:id="12" w:name="_Toc103958796"/>
      <w:bookmarkEnd w:id="12"/>
    </w:p>
    <w:p>
      <w:pPr>
        <w:pStyle w:val="71"/>
        <w:widowControl/>
        <w:numPr>
          <w:ilvl w:val="1"/>
          <w:numId w:val="1"/>
        </w:numPr>
        <w:tabs>
          <w:tab w:val="left" w:pos="432"/>
          <w:tab w:val="left" w:pos="3267"/>
        </w:tabs>
        <w:spacing w:before="40" w:after="40"/>
        <w:ind w:firstLineChars="0"/>
        <w:jc w:val="left"/>
        <w:outlineLvl w:val="1"/>
        <w:rPr>
          <w:rFonts w:cs="宋体"/>
          <w:b/>
          <w:bCs/>
          <w:vanish/>
          <w:sz w:val="24"/>
          <w:szCs w:val="32"/>
        </w:rPr>
      </w:pPr>
      <w:bookmarkStart w:id="13" w:name="_Toc103956559"/>
      <w:bookmarkEnd w:id="13"/>
      <w:bookmarkStart w:id="14" w:name="_Toc103958797"/>
      <w:bookmarkEnd w:id="14"/>
    </w:p>
    <w:p>
      <w:pPr>
        <w:pStyle w:val="5"/>
      </w:pPr>
      <w:bookmarkStart w:id="15" w:name="_Toc23071"/>
      <w:r>
        <w:rPr>
          <w:rFonts w:hint="eastAsia"/>
        </w:rPr>
        <w:t>功能描述</w:t>
      </w:r>
      <w:bookmarkEnd w:id="15"/>
    </w:p>
    <w:p>
      <w:pPr>
        <w:tabs>
          <w:tab w:val="left" w:pos="1008"/>
        </w:tabs>
        <w:ind w:firstLine="420"/>
        <w:rPr>
          <w:rFonts w:cs="宋体"/>
        </w:rPr>
      </w:pPr>
      <w:r>
        <w:rPr>
          <w:rFonts w:hint="eastAsia" w:cs="宋体"/>
        </w:rPr>
        <w:t>登录系统后，选择药品交易结算，进入中药配方颗粒相关页面，进行中药颗粒相关产品采购金额、配送金额维护＞采购计划添加＞收退货＞订单明细查看等操作。</w:t>
      </w:r>
    </w:p>
    <w:p>
      <w:pPr>
        <w:pStyle w:val="5"/>
      </w:pPr>
      <w:bookmarkStart w:id="16" w:name="_Toc31222"/>
      <w:r>
        <w:rPr>
          <w:rFonts w:hint="eastAsia"/>
        </w:rPr>
        <w:t>操作权限</w:t>
      </w:r>
      <w:bookmarkEnd w:id="16"/>
    </w:p>
    <w:p>
      <w:pPr>
        <w:pStyle w:val="50"/>
        <w:ind w:firstLine="420"/>
      </w:pPr>
      <w:r>
        <w:rPr>
          <w:rFonts w:hint="eastAsia"/>
        </w:rPr>
        <w:t>医疗机构：挂网目录查询、院内目录查询、项目维护、创建采购计划、采购计划查看、项目维护、收退货、采购订单查询。</w:t>
      </w:r>
    </w:p>
    <w:p>
      <w:pPr>
        <w:pStyle w:val="5"/>
      </w:pPr>
      <w:bookmarkStart w:id="17" w:name="_Toc31887"/>
      <w:r>
        <w:rPr>
          <w:rFonts w:hint="eastAsia"/>
        </w:rPr>
        <w:t>操作流程</w:t>
      </w:r>
      <w:bookmarkEnd w:id="17"/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【目录管理-挂网目录查询】</w:t>
      </w:r>
    </w:p>
    <w:p>
      <w:pPr>
        <w:pStyle w:val="50"/>
        <w:numPr>
          <w:ilvl w:val="0"/>
          <w:numId w:val="5"/>
        </w:numPr>
        <w:ind w:firstLine="420"/>
      </w:pPr>
      <w:r>
        <w:rPr>
          <w:rFonts w:hint="eastAsia"/>
        </w:rPr>
        <w:t>点击【目录管理-挂网目录查询】菜单，点击【中药配方颗粒】tab，输入查询条件，搜索已挂网的中药颗粒产品。确认产品信息无误，将需要交易的挂网产品，添加至院内目录。</w:t>
      </w:r>
    </w:p>
    <w:p>
      <w:pPr>
        <w:pStyle w:val="50"/>
        <w:ind w:firstLine="0" w:firstLineChars="0"/>
      </w:pPr>
      <w:r>
        <w:drawing>
          <wp:inline distT="0" distB="0" distL="114300" distR="114300">
            <wp:extent cx="5577840" cy="2672715"/>
            <wp:effectExtent l="0" t="0" r="381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添加院内目录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【目录管理-院内目录管理】</w:t>
      </w:r>
    </w:p>
    <w:p>
      <w:pPr>
        <w:pStyle w:val="50"/>
        <w:numPr>
          <w:ilvl w:val="0"/>
          <w:numId w:val="6"/>
        </w:numPr>
        <w:ind w:firstLine="420"/>
      </w:pPr>
      <w:r>
        <w:rPr>
          <w:rFonts w:hint="eastAsia"/>
        </w:rPr>
        <w:t>点击【目录管理-院内目录管理】菜单，点击【中药配方颗粒】tab，查看是否有“医院采购价、当前默认配送企业”，若有，则可直接创建采购计划，若无，则需要进入【项目维护】进行维护。</w:t>
      </w:r>
    </w:p>
    <w:p>
      <w:pPr>
        <w:pStyle w:val="50"/>
        <w:ind w:firstLine="0" w:firstLineChars="0"/>
      </w:pPr>
      <w:r>
        <w:drawing>
          <wp:inline distT="0" distB="0" distL="114300" distR="114300">
            <wp:extent cx="5577840" cy="2672715"/>
            <wp:effectExtent l="0" t="0" r="3810" b="1333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院内目录管理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【项目维护-中药配方颗粒】</w:t>
      </w:r>
    </w:p>
    <w:p>
      <w:pPr>
        <w:pStyle w:val="50"/>
        <w:numPr>
          <w:ilvl w:val="0"/>
          <w:numId w:val="7"/>
        </w:numPr>
        <w:ind w:firstLine="420"/>
      </w:pPr>
      <w:r>
        <w:rPr>
          <w:rFonts w:hint="eastAsia"/>
        </w:rPr>
        <w:t>点击【项目维护-中药配方颗粒】菜单，列表会展示当前医院挂网目录产品数，已添加至院内目录数。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中药颗粒项目维护-列表</w:t>
      </w:r>
    </w:p>
    <w:p>
      <w:pPr>
        <w:pStyle w:val="50"/>
        <w:numPr>
          <w:ilvl w:val="0"/>
          <w:numId w:val="7"/>
        </w:numPr>
        <w:ind w:firstLine="420"/>
      </w:pPr>
      <w:r>
        <w:rPr>
          <w:rFonts w:hint="eastAsia"/>
        </w:rPr>
        <w:t>点击【查看】进入到项目详情，可查看项目名/执行区/执行时间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中药颗粒项目维护-查看</w:t>
      </w:r>
    </w:p>
    <w:p>
      <w:pPr>
        <w:pStyle w:val="50"/>
        <w:numPr>
          <w:ilvl w:val="0"/>
          <w:numId w:val="7"/>
        </w:numPr>
        <w:ind w:firstLine="420"/>
      </w:pPr>
      <w:r>
        <w:rPr>
          <w:rFonts w:hint="eastAsia"/>
        </w:rPr>
        <w:t>点击【议价管理】，由医院发起产品议价，填写采购金额，点击【提交】---＞提交后，由该产品对应的生产企业，进行价格确认---＞同意后，由生产企业发起选配，配送企业进行选配确认。议价成功、选配成功的数据将会更新【院内目录】的“采购金额、配送企业”，医院就可以去下单。</w:t>
      </w:r>
      <w:r>
        <w:rPr>
          <w:rFonts w:hint="eastAsia"/>
          <w:color w:val="FF0000"/>
        </w:rPr>
        <w:t>（注意：议价可重新发起。1、但是若选配状态为“选配中”，则必须等选配完成才可重新发起议价，否则金额处是置灰不允许提交的。2、如果重新发起议价，则之前的配送关系会清空，需重新选配，在</w:t>
      </w:r>
      <w:r>
        <w:rPr>
          <w:rFonts w:hint="eastAsia"/>
          <w:b/>
          <w:bCs/>
          <w:color w:val="FF0000"/>
        </w:rPr>
        <w:t>重新议价选配完成</w:t>
      </w:r>
      <w:r>
        <w:rPr>
          <w:rFonts w:hint="eastAsia"/>
          <w:color w:val="FF0000"/>
        </w:rPr>
        <w:t>前医院无法再下单）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中药颗粒项目维护-议价管理</w:t>
      </w:r>
    </w:p>
    <w:p>
      <w:pPr>
        <w:pStyle w:val="50"/>
        <w:numPr>
          <w:ilvl w:val="0"/>
          <w:numId w:val="7"/>
        </w:numPr>
        <w:ind w:firstLine="420"/>
      </w:pPr>
      <w:r>
        <w:rPr>
          <w:rFonts w:hint="eastAsia"/>
        </w:rPr>
        <w:t>点击【查看/议价管理-操作记录】可查看当前医院挂网产品明细和各个产品的操作记录。</w:t>
      </w:r>
      <w:r>
        <w:rPr>
          <w:rFonts w:hint="eastAsia"/>
          <w:color w:val="FF0000"/>
        </w:rPr>
        <w:t>（明细很清楚，可以查看到具体的金额、状态、企业名称等，若不了解当前进度的可直接查看操作记录）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中药颗粒项目维护-操作记录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【采购计划管理-创建采购计划】</w:t>
      </w:r>
    </w:p>
    <w:p>
      <w:pPr>
        <w:pStyle w:val="50"/>
        <w:ind w:firstLine="420"/>
      </w:pPr>
      <w:r>
        <w:rPr>
          <w:rFonts w:hint="eastAsia"/>
        </w:rPr>
        <w:t>1、点击菜单，点击【中药配方颗粒】tab，输入查询条件搜索，选择需要下单的产品，查看配送企业正确与否，输入“采购数量”后，点击单个【加入】或批量【加入采购计划】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创建采购计划-列表</w:t>
      </w:r>
    </w:p>
    <w:p>
      <w:pPr>
        <w:pStyle w:val="50"/>
        <w:ind w:firstLine="420"/>
      </w:pPr>
      <w:r>
        <w:rPr>
          <w:rFonts w:hint="eastAsia"/>
        </w:rPr>
        <w:t>2、点击【制单完成】，进入列表，核对信息无误后，即可【提交】。若部分数据，金额或配送企业有问题，则可以在列表【删除】，将正确的产品先提交。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创建采购计划-制单完成</w:t>
      </w:r>
    </w:p>
    <w:p>
      <w:pPr>
        <w:pStyle w:val="50"/>
        <w:ind w:firstLine="420"/>
        <w:rPr>
          <w:color w:val="FF0000"/>
        </w:rPr>
      </w:pPr>
      <w:r>
        <w:rPr>
          <w:rFonts w:hint="eastAsia"/>
        </w:rPr>
        <w:t>3、点击【提交】时，会出现采购信息弹窗，需核对订单信息，填写收货地址（来源：【收货退货管理-库房管理】），填写审核人信息（来源：【首页-用户基础设置-基础设置-账号管理】，在此处维护账号信息）。填写无误后，直接提交。</w:t>
      </w:r>
      <w:r>
        <w:rPr>
          <w:rFonts w:hint="eastAsia"/>
          <w:color w:val="FF0000"/>
        </w:rPr>
        <w:t>注意：提交是针对当前列表所有产品数据的提交，不只勾选数据</w:t>
      </w:r>
    </w:p>
    <w:p>
      <w:pPr>
        <w:pStyle w:val="25"/>
        <w:jc w:val="center"/>
      </w:pP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创建采购计划-制单完成-提交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【采购计划管理-采购计划管理】</w:t>
      </w:r>
    </w:p>
    <w:p>
      <w:pPr>
        <w:pStyle w:val="50"/>
        <w:numPr>
          <w:ilvl w:val="0"/>
          <w:numId w:val="8"/>
        </w:numPr>
        <w:ind w:firstLine="420"/>
      </w:pPr>
      <w:r>
        <w:rPr>
          <w:rFonts w:hint="eastAsia"/>
        </w:rPr>
        <w:t>采购计划提交后，即进入到“待审核”状态，医院可在【采购计划管理】待审核tab看到此条订单数据。在审核前，可执行撤回操作，可点击订单编号进入明细重新核对、可点击查看查看当前审核进度。</w:t>
      </w:r>
    </w:p>
    <w:p>
      <w:pPr>
        <w:pStyle w:val="50"/>
        <w:ind w:firstLine="0" w:firstLineChars="0"/>
      </w:pPr>
      <w:r>
        <w:drawing>
          <wp:inline distT="0" distB="0" distL="114300" distR="114300">
            <wp:extent cx="5577840" cy="2672715"/>
            <wp:effectExtent l="0" t="0" r="3810" b="1333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采购计划管理-列表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【采购计划管理-采购计划审核】</w:t>
      </w:r>
    </w:p>
    <w:p>
      <w:pPr>
        <w:pStyle w:val="50"/>
        <w:ind w:firstLine="420"/>
      </w:pPr>
      <w:r>
        <w:rPr>
          <w:rFonts w:hint="eastAsia"/>
        </w:rPr>
        <w:t>1、医院提交采购计划时，填写的审核人，进入采购计划审核，对采购计划进行审核。审核通过后发送至配送企业进行配货，审核不通过则退回至医院重新核对再提交。</w:t>
      </w:r>
    </w:p>
    <w:p>
      <w:pPr>
        <w:pStyle w:val="25"/>
        <w:jc w:val="both"/>
      </w:pP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采购计划审核-列表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采购计划审核-审核页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【收货退货管理-收货管理】</w:t>
      </w:r>
    </w:p>
    <w:p>
      <w:pPr>
        <w:pStyle w:val="50"/>
        <w:ind w:firstLine="420"/>
      </w:pPr>
      <w:r>
        <w:rPr>
          <w:rFonts w:hint="eastAsia"/>
        </w:rPr>
        <w:t>1、配送企业发货后，医院收到货后，进行收货确认，医院可按订单收货，也可按明细收货。点击两个tab，搜索中药颗粒类型的订单即可。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收货管理-列表</w:t>
      </w:r>
    </w:p>
    <w:p>
      <w:pPr>
        <w:pStyle w:val="25"/>
        <w:ind w:firstLine="420" w:firstLineChars="200"/>
        <w:jc w:val="both"/>
        <w:rPr>
          <w:sz w:val="21"/>
          <w:szCs w:val="24"/>
        </w:rPr>
      </w:pPr>
      <w:r>
        <w:rPr>
          <w:rFonts w:hint="eastAsia"/>
          <w:sz w:val="21"/>
          <w:szCs w:val="24"/>
        </w:rPr>
        <w:t>2、点击【确认收货】，核对无误后，填写具体信息：本次到货数量，确认提交。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收货管理-确认收货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【收货退货管理-退货管理】</w:t>
      </w:r>
    </w:p>
    <w:p>
      <w:pPr>
        <w:pStyle w:val="50"/>
        <w:numPr>
          <w:ilvl w:val="0"/>
          <w:numId w:val="9"/>
        </w:numPr>
        <w:ind w:firstLine="420"/>
      </w:pPr>
      <w:r>
        <w:rPr>
          <w:rFonts w:hint="eastAsia"/>
        </w:rPr>
        <w:t>医院收货后，若发现货品有问题，还可以申请退货，点击【申请退货】，选择需要退货的订单产品，点击【下一步】选择退货原因、退货数量后，【提交】，即可交于配送企业确认。配送企业确认或退回的数据也会返回至对应的tab列表，注意核查。</w:t>
      </w:r>
    </w:p>
    <w:p>
      <w:pPr>
        <w:pStyle w:val="50"/>
        <w:ind w:firstLine="0" w:firstLineChars="0"/>
      </w:pPr>
      <w:r>
        <w:drawing>
          <wp:inline distT="0" distB="0" distL="114300" distR="114300">
            <wp:extent cx="5577840" cy="2672715"/>
            <wp:effectExtent l="0" t="0" r="3810" b="1333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退货管理-申请退货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退货管理-申请退货：原因/数量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【采购订单管理-采购订单管理】</w:t>
      </w:r>
    </w:p>
    <w:p>
      <w:pPr>
        <w:pStyle w:val="50"/>
        <w:ind w:firstLine="420"/>
      </w:pPr>
      <w:r>
        <w:rPr>
          <w:rFonts w:hint="eastAsia"/>
        </w:rPr>
        <w:t>1、所有已创建并已审核发送的采购订单，再采购订单管理处，按订单的维度，均可查看。有待发货、待补发、待收货、部分收货、已完成、已作废。</w:t>
      </w:r>
    </w:p>
    <w:p>
      <w:pPr>
        <w:pStyle w:val="25"/>
        <w:jc w:val="center"/>
      </w:pP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采购订单管理-列表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【采购订单管理-订单明细跟踪】</w:t>
      </w:r>
    </w:p>
    <w:p>
      <w:pPr>
        <w:pStyle w:val="50"/>
        <w:numPr>
          <w:ilvl w:val="0"/>
          <w:numId w:val="10"/>
        </w:numPr>
        <w:ind w:firstLine="420"/>
      </w:pPr>
      <w:r>
        <w:rPr>
          <w:rFonts w:hint="eastAsia"/>
        </w:rPr>
        <w:t>所有已创建并审核发送了的订单，在订单明细跟踪处，以订单+产品的维度，按中药配方颗粒采购类型，均可查看到。有待发货、已发货、已收货、缺货列表、作废列表。</w:t>
      </w:r>
    </w:p>
    <w:p>
      <w:pPr>
        <w:pStyle w:val="50"/>
        <w:ind w:firstLine="0" w:firstLineChars="0"/>
      </w:pPr>
      <w:r>
        <w:drawing>
          <wp:inline distT="0" distB="0" distL="114300" distR="114300">
            <wp:extent cx="5577840" cy="2672715"/>
            <wp:effectExtent l="0" t="0" r="3810" b="13335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订单明细跟踪-列表</w:t>
      </w:r>
    </w:p>
    <w:p>
      <w:pPr>
        <w:pStyle w:val="5"/>
        <w:rPr>
          <w:i/>
          <w:iCs/>
        </w:rPr>
      </w:pPr>
      <w:bookmarkStart w:id="18" w:name="_Toc10009"/>
      <w:r>
        <w:rPr>
          <w:rFonts w:hint="eastAsia"/>
        </w:rPr>
        <w:t>注意事项</w:t>
      </w:r>
      <w:bookmarkEnd w:id="18"/>
    </w:p>
    <w:p>
      <w:pPr>
        <w:pStyle w:val="50"/>
        <w:ind w:firstLine="420"/>
      </w:pPr>
      <w:r>
        <w:rPr>
          <w:rFonts w:hint="eastAsia"/>
        </w:rPr>
        <w:t>*注：无</w:t>
      </w:r>
    </w:p>
    <w:p>
      <w:pPr>
        <w:pStyle w:val="4"/>
        <w:numPr>
          <w:ilvl w:val="0"/>
          <w:numId w:val="0"/>
        </w:numPr>
        <w:rPr>
          <w:rFonts w:cs="宋体"/>
        </w:rPr>
      </w:pPr>
      <w:bookmarkStart w:id="19" w:name="_Toc18027"/>
      <w:r>
        <w:rPr>
          <w:rFonts w:hint="eastAsia" w:cs="宋体"/>
        </w:rPr>
        <w:t>3.2 生产企业</w:t>
      </w:r>
      <w:bookmarkEnd w:id="19"/>
    </w:p>
    <w:p>
      <w:pPr>
        <w:pStyle w:val="71"/>
        <w:widowControl/>
        <w:numPr>
          <w:ilvl w:val="1"/>
          <w:numId w:val="11"/>
        </w:numPr>
        <w:tabs>
          <w:tab w:val="left" w:pos="432"/>
          <w:tab w:val="left" w:pos="1568"/>
          <w:tab w:val="left" w:pos="3267"/>
        </w:tabs>
        <w:spacing w:before="40" w:after="40"/>
        <w:ind w:firstLineChars="0"/>
        <w:jc w:val="left"/>
        <w:outlineLvl w:val="1"/>
        <w:rPr>
          <w:rFonts w:cs="宋体"/>
          <w:b/>
          <w:bCs/>
          <w:vanish/>
          <w:sz w:val="24"/>
          <w:szCs w:val="32"/>
        </w:rPr>
      </w:pPr>
      <w:bookmarkStart w:id="20" w:name="_Toc103956565"/>
      <w:bookmarkEnd w:id="20"/>
      <w:bookmarkStart w:id="21" w:name="_Toc103958803"/>
      <w:bookmarkEnd w:id="21"/>
    </w:p>
    <w:p>
      <w:pPr>
        <w:pStyle w:val="71"/>
        <w:widowControl/>
        <w:numPr>
          <w:ilvl w:val="1"/>
          <w:numId w:val="11"/>
        </w:numPr>
        <w:tabs>
          <w:tab w:val="left" w:pos="432"/>
          <w:tab w:val="left" w:pos="1568"/>
          <w:tab w:val="left" w:pos="3267"/>
        </w:tabs>
        <w:spacing w:before="40" w:after="40"/>
        <w:ind w:firstLineChars="0"/>
        <w:jc w:val="left"/>
        <w:outlineLvl w:val="1"/>
        <w:rPr>
          <w:rFonts w:cs="宋体"/>
          <w:b/>
          <w:bCs/>
          <w:vanish/>
          <w:sz w:val="24"/>
          <w:szCs w:val="32"/>
        </w:rPr>
      </w:pPr>
      <w:bookmarkStart w:id="22" w:name="_Toc103956566"/>
      <w:bookmarkEnd w:id="22"/>
      <w:bookmarkStart w:id="23" w:name="_Toc103958804"/>
      <w:bookmarkEnd w:id="23"/>
    </w:p>
    <w:p>
      <w:pPr>
        <w:pStyle w:val="5"/>
        <w:numPr>
          <w:ilvl w:val="2"/>
          <w:numId w:val="11"/>
        </w:numPr>
      </w:pPr>
      <w:bookmarkStart w:id="24" w:name="_Toc10704"/>
      <w:r>
        <w:rPr>
          <w:rFonts w:hint="eastAsia"/>
        </w:rPr>
        <w:t>功能描述</w:t>
      </w:r>
      <w:bookmarkEnd w:id="24"/>
    </w:p>
    <w:p>
      <w:pPr>
        <w:tabs>
          <w:tab w:val="left" w:pos="1008"/>
        </w:tabs>
        <w:ind w:firstLine="420"/>
        <w:rPr>
          <w:rFonts w:cs="宋体"/>
        </w:rPr>
      </w:pPr>
      <w:r>
        <w:rPr>
          <w:rFonts w:hint="eastAsia" w:cs="宋体"/>
        </w:rPr>
        <w:t>登录系统后，选择药品交易结算，进入中药配方颗粒相关页面，中药配方颗粒产品议价确认，选配，产品查询，订单查询等操作。</w:t>
      </w:r>
    </w:p>
    <w:p>
      <w:pPr>
        <w:pStyle w:val="5"/>
      </w:pPr>
      <w:bookmarkStart w:id="25" w:name="_Toc8450"/>
      <w:r>
        <w:rPr>
          <w:rFonts w:hint="eastAsia"/>
        </w:rPr>
        <w:t>操作权限</w:t>
      </w:r>
      <w:bookmarkEnd w:id="25"/>
    </w:p>
    <w:p>
      <w:pPr>
        <w:pStyle w:val="50"/>
        <w:ind w:firstLine="420"/>
      </w:pPr>
      <w:r>
        <w:rPr>
          <w:rFonts w:hint="eastAsia"/>
        </w:rPr>
        <w:t>生产企业：交易产品查询、采购订单查询、项目维护</w:t>
      </w:r>
    </w:p>
    <w:p>
      <w:pPr>
        <w:pStyle w:val="5"/>
      </w:pPr>
      <w:bookmarkStart w:id="26" w:name="_Toc26363"/>
      <w:r>
        <w:rPr>
          <w:rFonts w:hint="eastAsia"/>
        </w:rPr>
        <w:t>操作流程</w:t>
      </w:r>
      <w:bookmarkEnd w:id="26"/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【交易产品查询】</w:t>
      </w:r>
    </w:p>
    <w:p>
      <w:pPr>
        <w:pStyle w:val="50"/>
        <w:ind w:firstLine="420"/>
      </w:pPr>
      <w:r>
        <w:rPr>
          <w:rFonts w:hint="eastAsia"/>
        </w:rPr>
        <w:t>1、点击菜单进入列表，按“采购类型”为“中药配方颗粒”进行搜索，即可查询到中药颗粒相关的产品。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交易产品查询-列表</w:t>
      </w:r>
    </w:p>
    <w:p>
      <w:pPr>
        <w:pStyle w:val="50"/>
        <w:ind w:firstLine="422"/>
      </w:pPr>
      <w:r>
        <w:rPr>
          <w:rFonts w:hint="eastAsia"/>
          <w:b/>
          <w:bCs/>
        </w:rPr>
        <w:t>【项目维护-中药配方颗粒】</w:t>
      </w:r>
    </w:p>
    <w:p>
      <w:pPr>
        <w:pStyle w:val="50"/>
        <w:numPr>
          <w:ilvl w:val="0"/>
          <w:numId w:val="12"/>
        </w:numPr>
        <w:ind w:firstLine="420"/>
      </w:pPr>
      <w:r>
        <w:rPr>
          <w:rFonts w:hint="eastAsia"/>
        </w:rPr>
        <w:t>企业点击菜单进入列表。列表展示数据为医院已发起的，生产企业为自己的，中药配方颗粒产品数据。待议价数量、待选配数量，是可以点击查看的。</w:t>
      </w:r>
      <w:r>
        <w:rPr>
          <w:rFonts w:hint="eastAsia"/>
          <w:color w:val="FF0000"/>
        </w:rPr>
        <w:t>红字部分提示有议价和选配相关流程，注意查看，操作按流程进行操作即可。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项目维护-列表</w:t>
      </w:r>
    </w:p>
    <w:p>
      <w:pPr>
        <w:pStyle w:val="50"/>
        <w:numPr>
          <w:ilvl w:val="0"/>
          <w:numId w:val="12"/>
        </w:numPr>
        <w:ind w:firstLine="420"/>
        <w:rPr>
          <w:color w:val="FF0000"/>
        </w:rPr>
      </w:pPr>
      <w:r>
        <w:rPr>
          <w:rFonts w:hint="eastAsia"/>
        </w:rPr>
        <w:t>企业先点击待议价数据，点开后，弹窗默认显示所有医院关于被选产品，“议价状态为议价中”的数据，需要企业进行同意或者不同意。同意议价，则进入到选配环节、不同意议价则退回至医院重新发起。</w:t>
      </w:r>
      <w:r>
        <w:rPr>
          <w:rFonts w:hint="eastAsia"/>
          <w:color w:val="FF0000"/>
        </w:rPr>
        <w:t>注意：操作记录可查看详细明细。1、确认后，列表数据会过滤掉，如果想看之前操作的数据，可将“议价状态”此查询条件重新选择后筛选。2、议价同意后，直接进入到选配流程，无法重复操作。</w:t>
      </w:r>
    </w:p>
    <w:p>
      <w:pPr>
        <w:pStyle w:val="50"/>
        <w:ind w:firstLine="0" w:firstLineChars="0"/>
      </w:pPr>
      <w:r>
        <w:drawing>
          <wp:inline distT="0" distB="0" distL="114300" distR="114300">
            <wp:extent cx="5577840" cy="2672715"/>
            <wp:effectExtent l="0" t="0" r="3810" b="13335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项目维护-议价确认</w:t>
      </w:r>
    </w:p>
    <w:p>
      <w:pPr>
        <w:pStyle w:val="50"/>
        <w:numPr>
          <w:ilvl w:val="0"/>
          <w:numId w:val="12"/>
        </w:numPr>
        <w:ind w:firstLine="420"/>
      </w:pPr>
      <w:r>
        <w:rPr>
          <w:rFonts w:hint="eastAsia"/>
        </w:rPr>
        <w:t>议价成功后，企业再点击待选配数据。进行各个医院被选产品的配送公司选择。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项目维护-选配管理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项目维护-选择配送企业</w:t>
      </w:r>
    </w:p>
    <w:p>
      <w:pPr>
        <w:pStyle w:val="50"/>
        <w:numPr>
          <w:ilvl w:val="0"/>
          <w:numId w:val="12"/>
        </w:numPr>
        <w:ind w:firstLine="420"/>
      </w:pPr>
      <w:r>
        <w:rPr>
          <w:rFonts w:hint="eastAsia"/>
        </w:rPr>
        <w:t>点击列表【查看】可进入详情查看申报此产品的各医疗机构，关于该产品的金额配送企业，等相关数据。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5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项目维护-查看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【采购订单管理-采购订单管理】</w:t>
      </w:r>
    </w:p>
    <w:p>
      <w:pPr>
        <w:pStyle w:val="50"/>
        <w:ind w:firstLine="420"/>
      </w:pPr>
      <w:r>
        <w:rPr>
          <w:rFonts w:hint="eastAsia"/>
        </w:rPr>
        <w:t>1、所有已创建并已审核发送的采购订单，在采购订单管理处，按订单的维度，均可查看。有待发货、待补发、待收货、部分收货、已完成、已作废。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6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采购订单管理-列表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【采购订单管理-订单明细跟踪】</w:t>
      </w:r>
    </w:p>
    <w:p>
      <w:pPr>
        <w:pStyle w:val="50"/>
        <w:numPr>
          <w:ilvl w:val="0"/>
          <w:numId w:val="10"/>
        </w:numPr>
        <w:ind w:firstLine="420"/>
      </w:pPr>
      <w:r>
        <w:rPr>
          <w:rFonts w:hint="eastAsia"/>
        </w:rPr>
        <w:t>所有已创建并审核发送了的订单，在订单明细跟踪处，以订单+产品的维度，按中药配方颗粒采购类型，均可查看到。有待发货、已发货、已收货、缺货列表、作废列表。</w:t>
      </w:r>
    </w:p>
    <w:p>
      <w:pPr>
        <w:pStyle w:val="50"/>
        <w:ind w:firstLine="0" w:firstLineChars="0"/>
      </w:pPr>
      <w:r>
        <w:drawing>
          <wp:inline distT="0" distB="0" distL="114300" distR="114300">
            <wp:extent cx="5577840" cy="2672715"/>
            <wp:effectExtent l="0" t="0" r="3810" b="13335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订单明细跟踪-列表</w:t>
      </w:r>
    </w:p>
    <w:p>
      <w:pPr>
        <w:pStyle w:val="5"/>
      </w:pPr>
      <w:bookmarkStart w:id="27" w:name="_Toc9042"/>
      <w:r>
        <w:rPr>
          <w:rFonts w:hint="eastAsia"/>
        </w:rPr>
        <w:t>注意事项</w:t>
      </w:r>
      <w:bookmarkEnd w:id="27"/>
    </w:p>
    <w:p>
      <w:pPr>
        <w:ind w:firstLine="420"/>
        <w:rPr>
          <w:rFonts w:cs="宋体"/>
        </w:rPr>
      </w:pPr>
      <w:r>
        <w:rPr>
          <w:rFonts w:hint="eastAsia" w:cs="宋体"/>
        </w:rPr>
        <w:t>*注：无</w:t>
      </w:r>
    </w:p>
    <w:p>
      <w:pPr>
        <w:pStyle w:val="4"/>
        <w:numPr>
          <w:ilvl w:val="0"/>
          <w:numId w:val="0"/>
        </w:numPr>
        <w:rPr>
          <w:rFonts w:cs="宋体"/>
        </w:rPr>
      </w:pPr>
      <w:bookmarkStart w:id="28" w:name="_Toc20663"/>
      <w:r>
        <w:rPr>
          <w:rFonts w:hint="eastAsia" w:cs="宋体"/>
        </w:rPr>
        <w:t>3.3 配送企业</w:t>
      </w:r>
      <w:bookmarkEnd w:id="28"/>
    </w:p>
    <w:p>
      <w:pPr>
        <w:pStyle w:val="71"/>
        <w:widowControl/>
        <w:numPr>
          <w:ilvl w:val="1"/>
          <w:numId w:val="13"/>
        </w:numPr>
        <w:tabs>
          <w:tab w:val="left" w:pos="432"/>
          <w:tab w:val="left" w:pos="1568"/>
          <w:tab w:val="left" w:pos="3267"/>
        </w:tabs>
        <w:spacing w:before="40" w:after="40"/>
        <w:ind w:firstLineChars="0"/>
        <w:jc w:val="left"/>
        <w:outlineLvl w:val="1"/>
        <w:rPr>
          <w:rFonts w:cs="宋体"/>
          <w:b/>
          <w:bCs/>
          <w:vanish/>
          <w:sz w:val="24"/>
          <w:szCs w:val="32"/>
        </w:rPr>
      </w:pPr>
      <w:bookmarkStart w:id="29" w:name="_Toc103956572"/>
      <w:bookmarkEnd w:id="29"/>
      <w:bookmarkStart w:id="30" w:name="_Toc103958810"/>
      <w:bookmarkEnd w:id="30"/>
    </w:p>
    <w:p>
      <w:pPr>
        <w:pStyle w:val="5"/>
        <w:numPr>
          <w:ilvl w:val="0"/>
          <w:numId w:val="0"/>
        </w:numPr>
      </w:pPr>
      <w:bookmarkStart w:id="31" w:name="_Toc14775"/>
      <w:r>
        <w:rPr>
          <w:rFonts w:hint="eastAsia"/>
        </w:rPr>
        <w:t>3.3.1功能描述</w:t>
      </w:r>
      <w:bookmarkEnd w:id="31"/>
    </w:p>
    <w:p>
      <w:pPr>
        <w:tabs>
          <w:tab w:val="left" w:pos="1008"/>
        </w:tabs>
        <w:ind w:firstLine="420"/>
        <w:rPr>
          <w:rFonts w:cs="宋体"/>
        </w:rPr>
      </w:pPr>
      <w:bookmarkStart w:id="32" w:name="_Toc103958812"/>
      <w:bookmarkEnd w:id="32"/>
      <w:bookmarkStart w:id="33" w:name="_Toc103956574"/>
      <w:bookmarkEnd w:id="33"/>
      <w:r>
        <w:rPr>
          <w:rFonts w:hint="eastAsia" w:cs="宋体"/>
        </w:rPr>
        <w:t>登录系统后，选择药品交易结算，进入中药配方颗粒相关页面，中药配方颗粒产品选配确认，药品目录查看、发货退货管理、票据维护、采购订单查看等操作。</w:t>
      </w:r>
    </w:p>
    <w:p>
      <w:pPr>
        <w:pStyle w:val="71"/>
        <w:widowControl/>
        <w:numPr>
          <w:ilvl w:val="1"/>
          <w:numId w:val="1"/>
        </w:numPr>
        <w:tabs>
          <w:tab w:val="left" w:pos="432"/>
          <w:tab w:val="left" w:pos="3267"/>
        </w:tabs>
        <w:spacing w:before="40" w:after="40"/>
        <w:ind w:firstLineChars="0"/>
        <w:jc w:val="left"/>
        <w:outlineLvl w:val="1"/>
        <w:rPr>
          <w:rFonts w:cs="宋体"/>
          <w:b/>
          <w:bCs/>
          <w:vanish/>
          <w:sz w:val="24"/>
          <w:szCs w:val="32"/>
        </w:rPr>
      </w:pPr>
    </w:p>
    <w:p>
      <w:pPr>
        <w:pStyle w:val="71"/>
        <w:widowControl/>
        <w:numPr>
          <w:ilvl w:val="1"/>
          <w:numId w:val="1"/>
        </w:numPr>
        <w:tabs>
          <w:tab w:val="left" w:pos="432"/>
          <w:tab w:val="left" w:pos="3267"/>
        </w:tabs>
        <w:spacing w:before="40" w:after="40"/>
        <w:ind w:firstLineChars="0"/>
        <w:jc w:val="left"/>
        <w:outlineLvl w:val="1"/>
        <w:rPr>
          <w:rFonts w:cs="宋体"/>
          <w:b/>
          <w:bCs/>
          <w:vanish/>
          <w:sz w:val="24"/>
          <w:szCs w:val="32"/>
        </w:rPr>
      </w:pPr>
      <w:bookmarkStart w:id="34" w:name="_Toc103958813"/>
      <w:bookmarkEnd w:id="34"/>
      <w:bookmarkStart w:id="35" w:name="_Toc103956575"/>
      <w:bookmarkEnd w:id="35"/>
    </w:p>
    <w:p>
      <w:pPr>
        <w:pStyle w:val="71"/>
        <w:widowControl/>
        <w:numPr>
          <w:ilvl w:val="1"/>
          <w:numId w:val="1"/>
        </w:numPr>
        <w:tabs>
          <w:tab w:val="left" w:pos="432"/>
          <w:tab w:val="left" w:pos="3267"/>
        </w:tabs>
        <w:spacing w:before="40" w:after="40"/>
        <w:ind w:firstLineChars="0"/>
        <w:jc w:val="left"/>
        <w:outlineLvl w:val="1"/>
        <w:rPr>
          <w:rFonts w:cs="宋体"/>
          <w:b/>
          <w:bCs/>
          <w:vanish/>
          <w:sz w:val="24"/>
          <w:szCs w:val="32"/>
        </w:rPr>
      </w:pPr>
      <w:bookmarkStart w:id="36" w:name="_Toc103956576"/>
      <w:bookmarkEnd w:id="36"/>
      <w:bookmarkStart w:id="37" w:name="_Toc103958814"/>
      <w:bookmarkEnd w:id="37"/>
    </w:p>
    <w:p>
      <w:pPr>
        <w:pStyle w:val="71"/>
        <w:numPr>
          <w:ilvl w:val="2"/>
          <w:numId w:val="1"/>
        </w:numPr>
        <w:tabs>
          <w:tab w:val="left" w:pos="432"/>
        </w:tabs>
        <w:ind w:firstLineChars="0"/>
        <w:outlineLvl w:val="2"/>
        <w:rPr>
          <w:rFonts w:cs="宋体"/>
          <w:b/>
          <w:bCs/>
          <w:vanish/>
          <w:sz w:val="24"/>
          <w:szCs w:val="32"/>
        </w:rPr>
      </w:pPr>
      <w:bookmarkStart w:id="38" w:name="_Toc103958815"/>
      <w:bookmarkEnd w:id="38"/>
      <w:bookmarkStart w:id="39" w:name="_Toc103956577"/>
      <w:bookmarkEnd w:id="39"/>
    </w:p>
    <w:p>
      <w:pPr>
        <w:pStyle w:val="5"/>
        <w:numPr>
          <w:ilvl w:val="0"/>
          <w:numId w:val="0"/>
        </w:numPr>
      </w:pPr>
      <w:bookmarkStart w:id="40" w:name="_Toc8670"/>
      <w:r>
        <w:rPr>
          <w:rFonts w:hint="eastAsia"/>
        </w:rPr>
        <w:t>3.3.2操作权限</w:t>
      </w:r>
      <w:bookmarkEnd w:id="40"/>
    </w:p>
    <w:p>
      <w:pPr>
        <w:pStyle w:val="50"/>
        <w:ind w:firstLine="420"/>
      </w:pPr>
      <w:r>
        <w:rPr>
          <w:rFonts w:hint="eastAsia"/>
        </w:rPr>
        <w:t>配送企业：药品目录查询、发货退货管理、订单管理、订单跟踪、选配确认。</w:t>
      </w:r>
    </w:p>
    <w:p>
      <w:pPr>
        <w:pStyle w:val="5"/>
        <w:numPr>
          <w:ilvl w:val="0"/>
          <w:numId w:val="0"/>
        </w:numPr>
      </w:pPr>
      <w:bookmarkStart w:id="41" w:name="_Toc23526"/>
      <w:r>
        <w:rPr>
          <w:rFonts w:hint="eastAsia"/>
        </w:rPr>
        <w:t>3.3.3操作流程</w:t>
      </w:r>
      <w:bookmarkEnd w:id="41"/>
    </w:p>
    <w:p>
      <w:pPr>
        <w:pStyle w:val="50"/>
        <w:ind w:firstLine="0" w:firstLineChars="0"/>
        <w:rPr>
          <w:b/>
          <w:bCs/>
        </w:rPr>
      </w:pPr>
      <w:r>
        <w:rPr>
          <w:rFonts w:hint="eastAsia"/>
          <w:b/>
          <w:bCs/>
        </w:rPr>
        <w:t xml:space="preserve">   【目录管理-药品目录查询】</w:t>
      </w:r>
    </w:p>
    <w:p>
      <w:pPr>
        <w:pStyle w:val="50"/>
        <w:ind w:firstLine="420"/>
      </w:pPr>
      <w:r>
        <w:rPr>
          <w:rFonts w:hint="eastAsia"/>
        </w:rPr>
        <w:t>1、点击菜单，点击中药配方颗粒tab，可查看到中药颗粒当下所有挂网目录产品数据。</w:t>
      </w:r>
    </w:p>
    <w:p>
      <w:pPr>
        <w:pStyle w:val="50"/>
        <w:ind w:firstLine="0" w:firstLineChars="0"/>
      </w:pPr>
      <w:r>
        <w:drawing>
          <wp:inline distT="0" distB="0" distL="114300" distR="114300">
            <wp:extent cx="5577840" cy="2672715"/>
            <wp:effectExtent l="0" t="0" r="3810" b="133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【项目维护-中药配方颗粒】</w:t>
      </w:r>
    </w:p>
    <w:p>
      <w:pPr>
        <w:pStyle w:val="50"/>
        <w:ind w:firstLine="420"/>
        <w:rPr>
          <w:b/>
          <w:bCs/>
        </w:rPr>
      </w:pPr>
      <w:r>
        <w:rPr>
          <w:rFonts w:hint="eastAsia"/>
        </w:rPr>
        <w:t>1、医院、生产企业议价完成后，由生产企业进行选配，由自己作为配送企业的中药配方颗粒产品即会进入此列表，进行确认。</w:t>
      </w:r>
      <w:r>
        <w:rPr>
          <w:rFonts w:hint="eastAsia"/>
          <w:color w:val="FF0000"/>
        </w:rPr>
        <w:t>注意：流程可注意查看红字部分。只有“议价完成，待配送确认的产品”才可操作同意不同意，若已选配成功，则无法操作，只能查看操作记录。操作记录中有非常清楚的具体明细。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项目维护-中药配方颗粒</w:t>
      </w:r>
    </w:p>
    <w:p>
      <w:pPr>
        <w:pStyle w:val="50"/>
        <w:ind w:firstLine="422"/>
        <w:rPr>
          <w:b/>
          <w:bCs/>
        </w:rPr>
      </w:pPr>
      <w:r>
        <w:rPr>
          <w:rFonts w:hint="eastAsia"/>
          <w:b/>
          <w:bCs/>
        </w:rPr>
        <w:t>【发货退货管理-按订单发货】</w:t>
      </w:r>
    </w:p>
    <w:p>
      <w:pPr>
        <w:pStyle w:val="50"/>
        <w:ind w:firstLine="420"/>
      </w:pPr>
      <w:r>
        <w:rPr>
          <w:rFonts w:hint="eastAsia"/>
        </w:rPr>
        <w:t>1、点击菜单，搜索采购类型为【中药配方颗粒】的数据，找到对应待发货的订单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按订单发货-列表</w:t>
      </w:r>
    </w:p>
    <w:p>
      <w:pPr>
        <w:pStyle w:val="50"/>
        <w:ind w:firstLine="420"/>
      </w:pPr>
      <w:r>
        <w:rPr>
          <w:rFonts w:hint="eastAsia"/>
        </w:rPr>
        <w:t>2、点击发货，核对后，选择设置发票（来源：【票据管理-票据维护】）、或设置缺货、或设置拆分等，没有问题，最后【确认发货】。若没有全部发货，则补货后，可在待补发tab查看待补发订单后补充发货。</w:t>
      </w:r>
      <w:r>
        <w:rPr>
          <w:rFonts w:hint="eastAsia"/>
          <w:color w:val="FF0000"/>
        </w:rPr>
        <w:t>注意：发货数量、批号是必填的。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按订单发货-发货</w:t>
      </w:r>
    </w:p>
    <w:p>
      <w:pPr>
        <w:pStyle w:val="50"/>
        <w:ind w:firstLine="0" w:firstLineChars="0"/>
      </w:pPr>
      <w:r>
        <w:rPr>
          <w:rFonts w:hint="eastAsia"/>
          <w:b/>
          <w:bCs/>
        </w:rPr>
        <w:t xml:space="preserve">   【发货退货管理-按明细发货】</w:t>
      </w:r>
    </w:p>
    <w:p>
      <w:pPr>
        <w:pStyle w:val="50"/>
        <w:ind w:firstLine="420"/>
      </w:pPr>
      <w:r>
        <w:rPr>
          <w:rFonts w:hint="eastAsia"/>
        </w:rPr>
        <w:t>1、点击菜单，按“采购类型为中药配方颗粒”搜索符合的订单产品数据，针对单个订单单个产品进行发货。填写信息同按订单发货。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按明细发货</w:t>
      </w:r>
    </w:p>
    <w:p>
      <w:pPr>
        <w:pStyle w:val="50"/>
        <w:ind w:firstLine="0" w:firstLineChars="0"/>
      </w:pPr>
      <w:r>
        <w:rPr>
          <w:rFonts w:hint="eastAsia"/>
          <w:b/>
          <w:bCs/>
        </w:rPr>
        <w:t xml:space="preserve">   【发货退货管理-发货订单管理】</w:t>
      </w:r>
    </w:p>
    <w:p>
      <w:pPr>
        <w:pStyle w:val="50"/>
        <w:ind w:left="420" w:leftChars="200" w:firstLine="0" w:firstLineChars="0"/>
      </w:pPr>
      <w:r>
        <w:rPr>
          <w:rFonts w:hint="eastAsia"/>
        </w:rPr>
        <w:t>1、点击菜单，进入列表，可查看当前自己作为配送，未完成和已完成的订单数据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发货订单管理</w:t>
      </w:r>
    </w:p>
    <w:p>
      <w:pPr>
        <w:pStyle w:val="50"/>
        <w:ind w:firstLine="0" w:firstLineChars="0"/>
      </w:pPr>
      <w:r>
        <w:rPr>
          <w:rFonts w:hint="eastAsia"/>
          <w:b/>
          <w:bCs/>
        </w:rPr>
        <w:t xml:space="preserve">   【发货退货管理-订单明细跟踪】</w:t>
      </w:r>
    </w:p>
    <w:p>
      <w:pPr>
        <w:pStyle w:val="50"/>
        <w:numPr>
          <w:ilvl w:val="0"/>
          <w:numId w:val="14"/>
        </w:numPr>
        <w:ind w:firstLine="420"/>
      </w:pPr>
      <w:r>
        <w:rPr>
          <w:rFonts w:hint="eastAsia"/>
        </w:rPr>
        <w:t>点击【订单明细跟踪】，可查看当前自己作为配送企业的，待发货、已发货、已收货、缺货、作废的订单产品。</w:t>
      </w:r>
    </w:p>
    <w:p>
      <w:pPr>
        <w:pStyle w:val="50"/>
        <w:ind w:firstLine="0" w:firstLineChars="0"/>
      </w:pPr>
      <w:r>
        <w:drawing>
          <wp:inline distT="0" distB="0" distL="114300" distR="114300">
            <wp:extent cx="5577840" cy="2672715"/>
            <wp:effectExtent l="0" t="0" r="3810" b="1333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订单明细跟踪</w:t>
      </w:r>
    </w:p>
    <w:p>
      <w:pPr>
        <w:pStyle w:val="50"/>
        <w:ind w:firstLine="0" w:firstLineChars="0"/>
      </w:pPr>
      <w:r>
        <w:rPr>
          <w:rFonts w:hint="eastAsia"/>
          <w:b/>
          <w:bCs/>
        </w:rPr>
        <w:t xml:space="preserve">   【发货退货管理-退货管理】</w:t>
      </w:r>
    </w:p>
    <w:p>
      <w:pPr>
        <w:pStyle w:val="50"/>
        <w:ind w:firstLine="420"/>
      </w:pPr>
      <w:r>
        <w:rPr>
          <w:rFonts w:hint="eastAsia"/>
        </w:rPr>
        <w:t>1、医院收获后，发现物品问题，可以发起退货，发起后配送企业需进行退货相关确认，配送企业接收后，进行确认或退回。</w:t>
      </w:r>
    </w:p>
    <w:p>
      <w:pPr>
        <w:pStyle w:val="25"/>
        <w:jc w:val="center"/>
      </w:pPr>
      <w:r>
        <w:drawing>
          <wp:inline distT="0" distB="0" distL="114300" distR="114300">
            <wp:extent cx="5577840" cy="2672715"/>
            <wp:effectExtent l="0" t="0" r="3810" b="1333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/>
        </w:rPr>
        <w:t>退货管理-列表</w:t>
      </w:r>
    </w:p>
    <w:p>
      <w:pPr>
        <w:pStyle w:val="5"/>
        <w:numPr>
          <w:ilvl w:val="0"/>
          <w:numId w:val="0"/>
        </w:numPr>
      </w:pPr>
      <w:bookmarkStart w:id="42" w:name="_Toc646"/>
      <w:r>
        <w:rPr>
          <w:rFonts w:hint="eastAsia"/>
        </w:rPr>
        <w:t>3.3.4注意事项</w:t>
      </w:r>
      <w:bookmarkEnd w:id="42"/>
    </w:p>
    <w:p>
      <w:pPr>
        <w:ind w:firstLine="420"/>
        <w:rPr>
          <w:rFonts w:cs="宋体"/>
        </w:rPr>
      </w:pPr>
      <w:r>
        <w:rPr>
          <w:rFonts w:hint="eastAsia" w:cs="宋体"/>
        </w:rPr>
        <w:t>*注：无。</w:t>
      </w:r>
    </w:p>
    <w:p>
      <w:pPr>
        <w:pStyle w:val="2"/>
        <w:numPr>
          <w:ilvl w:val="0"/>
          <w:numId w:val="0"/>
        </w:numPr>
        <w:rPr>
          <w:rFonts w:ascii="宋体" w:hAnsi="宋体" w:cs="宋体"/>
        </w:rPr>
      </w:pPr>
      <w:bookmarkStart w:id="43" w:name="_Toc19439"/>
      <w:r>
        <w:rPr>
          <w:rFonts w:hint="eastAsia" w:ascii="宋体" w:hAnsi="宋体" w:cs="宋体"/>
        </w:rPr>
        <w:t>4. 常见问题解答</w:t>
      </w:r>
      <w:bookmarkEnd w:id="43"/>
    </w:p>
    <w:p>
      <w:pPr>
        <w:tabs>
          <w:tab w:val="left" w:pos="0"/>
        </w:tabs>
        <w:ind w:firstLine="0" w:firstLineChars="0"/>
        <w:rPr>
          <w:rFonts w:cs="宋体"/>
        </w:rPr>
      </w:pPr>
      <w:r>
        <w:rPr>
          <w:rFonts w:hint="eastAsia" w:cs="宋体"/>
        </w:rPr>
        <w:t xml:space="preserve">  1.配送企业看不到之前操作过的部分产品？</w:t>
      </w:r>
    </w:p>
    <w:p>
      <w:pPr>
        <w:tabs>
          <w:tab w:val="left" w:pos="0"/>
        </w:tabs>
        <w:ind w:firstLine="0" w:firstLineChars="0"/>
        <w:rPr>
          <w:rFonts w:cs="宋体"/>
        </w:rPr>
      </w:pPr>
      <w:r>
        <w:rPr>
          <w:rFonts w:hint="eastAsia" w:cs="宋体"/>
        </w:rPr>
        <w:t xml:space="preserve">  </w:t>
      </w:r>
      <w:r>
        <w:rPr>
          <w:rFonts w:hint="eastAsia" w:cs="宋体"/>
          <w:b/>
          <w:bCs/>
        </w:rPr>
        <w:t>解答：</w:t>
      </w:r>
      <w:r>
        <w:rPr>
          <w:rFonts w:hint="eastAsia" w:cs="宋体"/>
        </w:rPr>
        <w:t>列表展示的数据为，“待配送企业确认配送关系的数据+议价达成且选配达成的数据”。当医疗机构和生产企业重新议价即“议价中”，意味着配送关系的重新调整故而您也无法看到该数据；当您不同意选配，该数据也无法看到。</w:t>
      </w:r>
    </w:p>
    <w:p>
      <w:pPr>
        <w:tabs>
          <w:tab w:val="left" w:pos="0"/>
        </w:tabs>
        <w:ind w:firstLine="210" w:firstLineChars="100"/>
        <w:rPr>
          <w:rFonts w:cs="宋体"/>
        </w:rPr>
      </w:pPr>
      <w:r>
        <w:rPr>
          <w:rFonts w:hint="eastAsia" w:cs="宋体"/>
        </w:rPr>
        <w:t>2.医院之前采购计划看到过产品A，后面再去看时，发现没有产品A了？</w:t>
      </w:r>
    </w:p>
    <w:p>
      <w:pPr>
        <w:tabs>
          <w:tab w:val="left" w:pos="0"/>
        </w:tabs>
        <w:ind w:firstLine="0" w:firstLineChars="0"/>
        <w:rPr>
          <w:rFonts w:cs="宋体"/>
        </w:rPr>
      </w:pPr>
      <w:r>
        <w:rPr>
          <w:rFonts w:hint="eastAsia" w:cs="宋体"/>
        </w:rPr>
        <w:t xml:space="preserve">  </w:t>
      </w:r>
      <w:r>
        <w:rPr>
          <w:rFonts w:hint="eastAsia" w:cs="宋体"/>
          <w:b/>
          <w:bCs/>
        </w:rPr>
        <w:t>解答：</w:t>
      </w:r>
      <w:r>
        <w:rPr>
          <w:rFonts w:hint="eastAsia" w:cs="宋体"/>
        </w:rPr>
        <w:t>采购计划中只会出现有议价和选配已确认完成的产品，若产品重新发起议价和选配了，则采购计划列表就会不显示，直至新一轮议价选配完成。</w:t>
      </w:r>
    </w:p>
    <w:sectPr>
      <w:headerReference r:id="rId12" w:type="default"/>
      <w:footerReference r:id="rId13" w:type="default"/>
      <w:pgSz w:w="11906" w:h="16838"/>
      <w:pgMar w:top="1417" w:right="1417" w:bottom="1417" w:left="1701" w:header="851" w:footer="850" w:gutter="0"/>
      <w:pgNumType w:start="1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sdt>
      <w:sdtPr>
        <w:id w:val="1"/>
      </w:sdtPr>
      <w:sdtContent>
        <w:sdt>
          <w:sdtPr>
            <w:id w:val="2"/>
          </w:sdtPr>
          <w:sdtContent/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3"/>
      </w:sdtPr>
      <w:sdtContent>
        <w:sdt>
          <w:sdtPr>
            <w:id w:val="4"/>
          </w:sdtPr>
          <w:sdtContent/>
        </w:sdt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0" w:firstLineChars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tabs>
        <w:tab w:val="clear" w:pos="4153"/>
      </w:tabs>
      <w:ind w:firstLine="0" w:firstLineChars="0"/>
    </w:pPr>
  </w:p>
  <w:p>
    <w:pPr>
      <w:pStyle w:val="22"/>
      <w:tabs>
        <w:tab w:val="clear" w:pos="4153"/>
      </w:tabs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</w:pPr>
  </w:p>
  <w:p>
    <w:pPr>
      <w:pStyle w:val="22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5774C0"/>
    <w:multiLevelType w:val="multilevel"/>
    <w:tmpl w:val="925774C0"/>
    <w:lvl w:ilvl="0" w:tentative="0">
      <w:start w:val="1"/>
      <w:numFmt w:val="decimal"/>
      <w:pStyle w:val="2"/>
      <w:lvlText w:val="%1."/>
      <w:lvlJc w:val="left"/>
      <w:pPr>
        <w:tabs>
          <w:tab w:val="left" w:pos="3267"/>
        </w:tabs>
        <w:ind w:left="2835" w:firstLine="0"/>
      </w:pPr>
    </w:lvl>
    <w:lvl w:ilvl="1" w:tentative="0">
      <w:start w:val="1"/>
      <w:numFmt w:val="decimal"/>
      <w:pStyle w:val="4"/>
      <w:lvlText w:val="%1.%2"/>
      <w:lvlJc w:val="left"/>
      <w:pPr>
        <w:tabs>
          <w:tab w:val="left" w:pos="1568"/>
        </w:tabs>
        <w:ind w:left="992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abstractNum w:abstractNumId="1">
    <w:nsid w:val="A5A6D7B3"/>
    <w:multiLevelType w:val="singleLevel"/>
    <w:tmpl w:val="A5A6D7B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021518C"/>
    <w:multiLevelType w:val="singleLevel"/>
    <w:tmpl w:val="C021518C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3">
    <w:nsid w:val="D6070D6D"/>
    <w:multiLevelType w:val="singleLevel"/>
    <w:tmpl w:val="D6070D6D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31DDAB0"/>
    <w:multiLevelType w:val="singleLevel"/>
    <w:tmpl w:val="F31DDAB0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54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1A0FFDF2"/>
    <w:multiLevelType w:val="singleLevel"/>
    <w:tmpl w:val="1A0FFDF2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3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221FA492"/>
    <w:multiLevelType w:val="singleLevel"/>
    <w:tmpl w:val="221FA492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30166F27"/>
    <w:multiLevelType w:val="singleLevel"/>
    <w:tmpl w:val="30166F27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41C29FA8"/>
    <w:multiLevelType w:val="singleLevel"/>
    <w:tmpl w:val="41C29FA8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pStyle w:val="9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0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1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5"/>
  </w:num>
  <w:num w:numId="5">
    <w:abstractNumId w:val="9"/>
  </w:num>
  <w:num w:numId="6">
    <w:abstractNumId w:val="8"/>
  </w:num>
  <w:num w:numId="7">
    <w:abstractNumId w:val="3"/>
  </w:num>
  <w:num w:numId="8">
    <w:abstractNumId w:val="10"/>
  </w:num>
  <w:num w:numId="9">
    <w:abstractNumId w:val="1"/>
  </w:num>
  <w:num w:numId="10">
    <w:abstractNumId w:val="6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lMjA3M2M2ZjFlOWZkMWYxOTk3NWZjMDFmNTI0MmQifQ=="/>
  </w:docVars>
  <w:rsids>
    <w:rsidRoot w:val="005E6D95"/>
    <w:rsid w:val="000000C5"/>
    <w:rsid w:val="000161C5"/>
    <w:rsid w:val="000214A3"/>
    <w:rsid w:val="000218A7"/>
    <w:rsid w:val="000321CC"/>
    <w:rsid w:val="00032E35"/>
    <w:rsid w:val="0003316E"/>
    <w:rsid w:val="00033CC6"/>
    <w:rsid w:val="00042A4B"/>
    <w:rsid w:val="00057099"/>
    <w:rsid w:val="00061AEB"/>
    <w:rsid w:val="00070D29"/>
    <w:rsid w:val="0008003D"/>
    <w:rsid w:val="000823C4"/>
    <w:rsid w:val="000853E0"/>
    <w:rsid w:val="000878E1"/>
    <w:rsid w:val="000921CD"/>
    <w:rsid w:val="0009595B"/>
    <w:rsid w:val="00096D4D"/>
    <w:rsid w:val="000C63C3"/>
    <w:rsid w:val="000C6E71"/>
    <w:rsid w:val="000D1CF5"/>
    <w:rsid w:val="000D5DFC"/>
    <w:rsid w:val="000E18CF"/>
    <w:rsid w:val="000E316E"/>
    <w:rsid w:val="000F2EC2"/>
    <w:rsid w:val="000F3B84"/>
    <w:rsid w:val="000F54EE"/>
    <w:rsid w:val="000F64A5"/>
    <w:rsid w:val="00103C51"/>
    <w:rsid w:val="0010567B"/>
    <w:rsid w:val="00111CFF"/>
    <w:rsid w:val="00120E3F"/>
    <w:rsid w:val="00121863"/>
    <w:rsid w:val="00131E27"/>
    <w:rsid w:val="00132280"/>
    <w:rsid w:val="00134FEE"/>
    <w:rsid w:val="00143F2D"/>
    <w:rsid w:val="00144F73"/>
    <w:rsid w:val="00151BFE"/>
    <w:rsid w:val="00153127"/>
    <w:rsid w:val="00154185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1F4B31"/>
    <w:rsid w:val="0020051D"/>
    <w:rsid w:val="0021032A"/>
    <w:rsid w:val="00212157"/>
    <w:rsid w:val="00212D8F"/>
    <w:rsid w:val="0021526F"/>
    <w:rsid w:val="00221F0B"/>
    <w:rsid w:val="0022312D"/>
    <w:rsid w:val="00230A4B"/>
    <w:rsid w:val="00230B02"/>
    <w:rsid w:val="00247D6D"/>
    <w:rsid w:val="00250D31"/>
    <w:rsid w:val="00252CD2"/>
    <w:rsid w:val="00253AED"/>
    <w:rsid w:val="00270202"/>
    <w:rsid w:val="00273923"/>
    <w:rsid w:val="00275909"/>
    <w:rsid w:val="00285768"/>
    <w:rsid w:val="002947D0"/>
    <w:rsid w:val="00295A5B"/>
    <w:rsid w:val="002A574B"/>
    <w:rsid w:val="002B6C65"/>
    <w:rsid w:val="002C10D5"/>
    <w:rsid w:val="002D48A0"/>
    <w:rsid w:val="002E18CF"/>
    <w:rsid w:val="002E18F2"/>
    <w:rsid w:val="00320202"/>
    <w:rsid w:val="003212E5"/>
    <w:rsid w:val="00324582"/>
    <w:rsid w:val="00325122"/>
    <w:rsid w:val="003263A4"/>
    <w:rsid w:val="00337E96"/>
    <w:rsid w:val="00341A1D"/>
    <w:rsid w:val="0034546B"/>
    <w:rsid w:val="003471D2"/>
    <w:rsid w:val="003500DB"/>
    <w:rsid w:val="00351DD9"/>
    <w:rsid w:val="00363536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E19BF"/>
    <w:rsid w:val="003F0590"/>
    <w:rsid w:val="003F5639"/>
    <w:rsid w:val="003F7836"/>
    <w:rsid w:val="00400530"/>
    <w:rsid w:val="0040628F"/>
    <w:rsid w:val="00406554"/>
    <w:rsid w:val="00407F47"/>
    <w:rsid w:val="00410189"/>
    <w:rsid w:val="00413A06"/>
    <w:rsid w:val="00414629"/>
    <w:rsid w:val="004202E6"/>
    <w:rsid w:val="00431232"/>
    <w:rsid w:val="00457596"/>
    <w:rsid w:val="004577A0"/>
    <w:rsid w:val="00467163"/>
    <w:rsid w:val="00470C09"/>
    <w:rsid w:val="00487D1B"/>
    <w:rsid w:val="00490F81"/>
    <w:rsid w:val="004910A7"/>
    <w:rsid w:val="00492CA2"/>
    <w:rsid w:val="00493C6C"/>
    <w:rsid w:val="004A108E"/>
    <w:rsid w:val="004A65F6"/>
    <w:rsid w:val="004B4EEA"/>
    <w:rsid w:val="004B7E90"/>
    <w:rsid w:val="004C03B8"/>
    <w:rsid w:val="004C34F5"/>
    <w:rsid w:val="004C5234"/>
    <w:rsid w:val="004C5725"/>
    <w:rsid w:val="004E3744"/>
    <w:rsid w:val="004F6012"/>
    <w:rsid w:val="004F72DA"/>
    <w:rsid w:val="00510397"/>
    <w:rsid w:val="00514045"/>
    <w:rsid w:val="0051411B"/>
    <w:rsid w:val="00514296"/>
    <w:rsid w:val="0051607D"/>
    <w:rsid w:val="00524105"/>
    <w:rsid w:val="00526672"/>
    <w:rsid w:val="005300AF"/>
    <w:rsid w:val="005536E2"/>
    <w:rsid w:val="005754F0"/>
    <w:rsid w:val="00577A43"/>
    <w:rsid w:val="00586C1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C54"/>
    <w:rsid w:val="00621ED8"/>
    <w:rsid w:val="00637774"/>
    <w:rsid w:val="006426EC"/>
    <w:rsid w:val="00645A0D"/>
    <w:rsid w:val="00652A0C"/>
    <w:rsid w:val="00655D1C"/>
    <w:rsid w:val="00656918"/>
    <w:rsid w:val="006571DC"/>
    <w:rsid w:val="00664F99"/>
    <w:rsid w:val="00667B59"/>
    <w:rsid w:val="00685535"/>
    <w:rsid w:val="00694752"/>
    <w:rsid w:val="006A3667"/>
    <w:rsid w:val="006A5688"/>
    <w:rsid w:val="006B23FF"/>
    <w:rsid w:val="006B332A"/>
    <w:rsid w:val="006B3E18"/>
    <w:rsid w:val="006D1DC1"/>
    <w:rsid w:val="006D4F04"/>
    <w:rsid w:val="006D7A97"/>
    <w:rsid w:val="006F39D7"/>
    <w:rsid w:val="006F3ACE"/>
    <w:rsid w:val="0071127D"/>
    <w:rsid w:val="00721CF2"/>
    <w:rsid w:val="00723D97"/>
    <w:rsid w:val="00724F4E"/>
    <w:rsid w:val="00732233"/>
    <w:rsid w:val="0073506F"/>
    <w:rsid w:val="00735820"/>
    <w:rsid w:val="007423C4"/>
    <w:rsid w:val="00745781"/>
    <w:rsid w:val="00752074"/>
    <w:rsid w:val="00760FE9"/>
    <w:rsid w:val="007664FB"/>
    <w:rsid w:val="00775C34"/>
    <w:rsid w:val="00780849"/>
    <w:rsid w:val="00784B5E"/>
    <w:rsid w:val="00786AE9"/>
    <w:rsid w:val="007A3FA7"/>
    <w:rsid w:val="007D377F"/>
    <w:rsid w:val="007E0A14"/>
    <w:rsid w:val="007E4656"/>
    <w:rsid w:val="007F1283"/>
    <w:rsid w:val="007F12C8"/>
    <w:rsid w:val="00803081"/>
    <w:rsid w:val="00803D40"/>
    <w:rsid w:val="00805B51"/>
    <w:rsid w:val="0080642D"/>
    <w:rsid w:val="00806B8A"/>
    <w:rsid w:val="00810A95"/>
    <w:rsid w:val="0082438F"/>
    <w:rsid w:val="00824FE8"/>
    <w:rsid w:val="00833133"/>
    <w:rsid w:val="008351FD"/>
    <w:rsid w:val="0083574E"/>
    <w:rsid w:val="00842130"/>
    <w:rsid w:val="00842422"/>
    <w:rsid w:val="00842A0F"/>
    <w:rsid w:val="0085284B"/>
    <w:rsid w:val="00854C38"/>
    <w:rsid w:val="00856D87"/>
    <w:rsid w:val="00864E74"/>
    <w:rsid w:val="00883BE4"/>
    <w:rsid w:val="008A0445"/>
    <w:rsid w:val="008A7090"/>
    <w:rsid w:val="008B3793"/>
    <w:rsid w:val="008B4EF0"/>
    <w:rsid w:val="008B4F6F"/>
    <w:rsid w:val="008C0A70"/>
    <w:rsid w:val="008C0E74"/>
    <w:rsid w:val="008C287B"/>
    <w:rsid w:val="008C2D96"/>
    <w:rsid w:val="008C46C4"/>
    <w:rsid w:val="008C5D8E"/>
    <w:rsid w:val="008D411D"/>
    <w:rsid w:val="008D759E"/>
    <w:rsid w:val="008F0D45"/>
    <w:rsid w:val="008F49CB"/>
    <w:rsid w:val="00900FBA"/>
    <w:rsid w:val="0090295D"/>
    <w:rsid w:val="009331DB"/>
    <w:rsid w:val="00934D01"/>
    <w:rsid w:val="00944D43"/>
    <w:rsid w:val="00946C39"/>
    <w:rsid w:val="00950D59"/>
    <w:rsid w:val="00951778"/>
    <w:rsid w:val="00952C1F"/>
    <w:rsid w:val="009547F5"/>
    <w:rsid w:val="00960E3E"/>
    <w:rsid w:val="0096330D"/>
    <w:rsid w:val="00974470"/>
    <w:rsid w:val="0098797D"/>
    <w:rsid w:val="00990D67"/>
    <w:rsid w:val="00991448"/>
    <w:rsid w:val="00993D75"/>
    <w:rsid w:val="009A092D"/>
    <w:rsid w:val="009A0C83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17DB0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57E7"/>
    <w:rsid w:val="00A76C58"/>
    <w:rsid w:val="00A77141"/>
    <w:rsid w:val="00AA1E95"/>
    <w:rsid w:val="00AA555F"/>
    <w:rsid w:val="00AA6AED"/>
    <w:rsid w:val="00AA7068"/>
    <w:rsid w:val="00AC072E"/>
    <w:rsid w:val="00AD1352"/>
    <w:rsid w:val="00AE449B"/>
    <w:rsid w:val="00AE544C"/>
    <w:rsid w:val="00B0168E"/>
    <w:rsid w:val="00B120C3"/>
    <w:rsid w:val="00B12962"/>
    <w:rsid w:val="00B14A68"/>
    <w:rsid w:val="00B23C39"/>
    <w:rsid w:val="00B45A5D"/>
    <w:rsid w:val="00B45B97"/>
    <w:rsid w:val="00B501AB"/>
    <w:rsid w:val="00B57D54"/>
    <w:rsid w:val="00B60840"/>
    <w:rsid w:val="00B62877"/>
    <w:rsid w:val="00B64570"/>
    <w:rsid w:val="00B64757"/>
    <w:rsid w:val="00B64DFC"/>
    <w:rsid w:val="00B71D0F"/>
    <w:rsid w:val="00B72B9C"/>
    <w:rsid w:val="00B76EA9"/>
    <w:rsid w:val="00B819F6"/>
    <w:rsid w:val="00B9162F"/>
    <w:rsid w:val="00B975AA"/>
    <w:rsid w:val="00BA2333"/>
    <w:rsid w:val="00BB5AB0"/>
    <w:rsid w:val="00BC06E0"/>
    <w:rsid w:val="00BC31B4"/>
    <w:rsid w:val="00BC3C87"/>
    <w:rsid w:val="00BD2BAE"/>
    <w:rsid w:val="00BD4E3F"/>
    <w:rsid w:val="00BD6C31"/>
    <w:rsid w:val="00C0397F"/>
    <w:rsid w:val="00C10DA1"/>
    <w:rsid w:val="00C1311F"/>
    <w:rsid w:val="00C1378E"/>
    <w:rsid w:val="00C32B4E"/>
    <w:rsid w:val="00C40372"/>
    <w:rsid w:val="00C40A0A"/>
    <w:rsid w:val="00C53FCA"/>
    <w:rsid w:val="00C643E2"/>
    <w:rsid w:val="00C73761"/>
    <w:rsid w:val="00C76337"/>
    <w:rsid w:val="00C80BEE"/>
    <w:rsid w:val="00C86FC7"/>
    <w:rsid w:val="00C924DD"/>
    <w:rsid w:val="00C9290B"/>
    <w:rsid w:val="00CA0382"/>
    <w:rsid w:val="00CA04B1"/>
    <w:rsid w:val="00CA5FC9"/>
    <w:rsid w:val="00CA67B9"/>
    <w:rsid w:val="00CA6C0F"/>
    <w:rsid w:val="00CB76F2"/>
    <w:rsid w:val="00CB7B29"/>
    <w:rsid w:val="00CC2857"/>
    <w:rsid w:val="00CC5297"/>
    <w:rsid w:val="00CC6C05"/>
    <w:rsid w:val="00CC7A4C"/>
    <w:rsid w:val="00CE4F3F"/>
    <w:rsid w:val="00CE6412"/>
    <w:rsid w:val="00D04CFA"/>
    <w:rsid w:val="00D06CE0"/>
    <w:rsid w:val="00D11C10"/>
    <w:rsid w:val="00D23EF2"/>
    <w:rsid w:val="00D306E1"/>
    <w:rsid w:val="00D373D1"/>
    <w:rsid w:val="00D408CD"/>
    <w:rsid w:val="00D41B86"/>
    <w:rsid w:val="00D438C2"/>
    <w:rsid w:val="00D47217"/>
    <w:rsid w:val="00D478DE"/>
    <w:rsid w:val="00D5470A"/>
    <w:rsid w:val="00D60B68"/>
    <w:rsid w:val="00D76886"/>
    <w:rsid w:val="00D774CC"/>
    <w:rsid w:val="00D953B7"/>
    <w:rsid w:val="00DB1691"/>
    <w:rsid w:val="00DB5B84"/>
    <w:rsid w:val="00DB7326"/>
    <w:rsid w:val="00DC2360"/>
    <w:rsid w:val="00DD08FF"/>
    <w:rsid w:val="00DD1C85"/>
    <w:rsid w:val="00DD368C"/>
    <w:rsid w:val="00DE0D93"/>
    <w:rsid w:val="00DE38C1"/>
    <w:rsid w:val="00DE6701"/>
    <w:rsid w:val="00DE6D5E"/>
    <w:rsid w:val="00DF42F0"/>
    <w:rsid w:val="00DF6853"/>
    <w:rsid w:val="00E163A3"/>
    <w:rsid w:val="00E20209"/>
    <w:rsid w:val="00E25AE6"/>
    <w:rsid w:val="00E277D8"/>
    <w:rsid w:val="00E35BC2"/>
    <w:rsid w:val="00E40DB0"/>
    <w:rsid w:val="00E429C6"/>
    <w:rsid w:val="00E53F42"/>
    <w:rsid w:val="00E54C93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E1927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64180"/>
    <w:rsid w:val="00F72F5A"/>
    <w:rsid w:val="00F750D4"/>
    <w:rsid w:val="00F7722F"/>
    <w:rsid w:val="00F94CE0"/>
    <w:rsid w:val="00FA23FE"/>
    <w:rsid w:val="00FA7FEF"/>
    <w:rsid w:val="00FC20A7"/>
    <w:rsid w:val="00FC27F9"/>
    <w:rsid w:val="00FC2F43"/>
    <w:rsid w:val="00FC58C3"/>
    <w:rsid w:val="00FE0F9D"/>
    <w:rsid w:val="00FE2108"/>
    <w:rsid w:val="012F3A7F"/>
    <w:rsid w:val="02394781"/>
    <w:rsid w:val="03351F2E"/>
    <w:rsid w:val="03A467F3"/>
    <w:rsid w:val="03A9596E"/>
    <w:rsid w:val="03B420C9"/>
    <w:rsid w:val="04477859"/>
    <w:rsid w:val="05006E12"/>
    <w:rsid w:val="06E81E0E"/>
    <w:rsid w:val="07CA39B5"/>
    <w:rsid w:val="07D53519"/>
    <w:rsid w:val="07DB67FB"/>
    <w:rsid w:val="08AF2D38"/>
    <w:rsid w:val="09813BAE"/>
    <w:rsid w:val="09CD6ADE"/>
    <w:rsid w:val="0A227D10"/>
    <w:rsid w:val="0AF03CFB"/>
    <w:rsid w:val="0CF228F1"/>
    <w:rsid w:val="0D0417A2"/>
    <w:rsid w:val="0D0C310F"/>
    <w:rsid w:val="0E5059E2"/>
    <w:rsid w:val="0EAC758F"/>
    <w:rsid w:val="0EE53FB5"/>
    <w:rsid w:val="10694F37"/>
    <w:rsid w:val="10AA32FC"/>
    <w:rsid w:val="10E37CCB"/>
    <w:rsid w:val="112D4C11"/>
    <w:rsid w:val="11C0789C"/>
    <w:rsid w:val="12215B15"/>
    <w:rsid w:val="122D02D9"/>
    <w:rsid w:val="12443874"/>
    <w:rsid w:val="126447D9"/>
    <w:rsid w:val="13224875"/>
    <w:rsid w:val="13854B43"/>
    <w:rsid w:val="13916631"/>
    <w:rsid w:val="13D91E80"/>
    <w:rsid w:val="13EE59DD"/>
    <w:rsid w:val="143759AA"/>
    <w:rsid w:val="144D660C"/>
    <w:rsid w:val="14E861AF"/>
    <w:rsid w:val="1643557C"/>
    <w:rsid w:val="167D7F1C"/>
    <w:rsid w:val="16833E99"/>
    <w:rsid w:val="16B8788D"/>
    <w:rsid w:val="16C9382B"/>
    <w:rsid w:val="1770769A"/>
    <w:rsid w:val="17EE7098"/>
    <w:rsid w:val="182E41D5"/>
    <w:rsid w:val="18596C7D"/>
    <w:rsid w:val="187F582C"/>
    <w:rsid w:val="188501DA"/>
    <w:rsid w:val="188879BB"/>
    <w:rsid w:val="18FD1883"/>
    <w:rsid w:val="191B532F"/>
    <w:rsid w:val="19526EA1"/>
    <w:rsid w:val="197B4878"/>
    <w:rsid w:val="19AD4F57"/>
    <w:rsid w:val="1A2D5452"/>
    <w:rsid w:val="1A432B1B"/>
    <w:rsid w:val="1A956556"/>
    <w:rsid w:val="1B5C033D"/>
    <w:rsid w:val="1B811852"/>
    <w:rsid w:val="1CE065DA"/>
    <w:rsid w:val="1E5A7302"/>
    <w:rsid w:val="1E5E3CE4"/>
    <w:rsid w:val="1EC574E9"/>
    <w:rsid w:val="1F3738CB"/>
    <w:rsid w:val="1F7D4833"/>
    <w:rsid w:val="1F8575E2"/>
    <w:rsid w:val="1F9127B3"/>
    <w:rsid w:val="20186B5E"/>
    <w:rsid w:val="202A24A9"/>
    <w:rsid w:val="203B62B7"/>
    <w:rsid w:val="218D0B89"/>
    <w:rsid w:val="21A05FD0"/>
    <w:rsid w:val="21CD65E3"/>
    <w:rsid w:val="22D53B12"/>
    <w:rsid w:val="23727183"/>
    <w:rsid w:val="24A81A41"/>
    <w:rsid w:val="24EE3648"/>
    <w:rsid w:val="253A712A"/>
    <w:rsid w:val="25D5416A"/>
    <w:rsid w:val="26C23BA0"/>
    <w:rsid w:val="26C83D85"/>
    <w:rsid w:val="2853768C"/>
    <w:rsid w:val="28C04BAD"/>
    <w:rsid w:val="28CC6A0C"/>
    <w:rsid w:val="29217F2F"/>
    <w:rsid w:val="2AD2620E"/>
    <w:rsid w:val="2B754C27"/>
    <w:rsid w:val="2B9B4B83"/>
    <w:rsid w:val="2C0559CB"/>
    <w:rsid w:val="2CA77DEB"/>
    <w:rsid w:val="2CE7502C"/>
    <w:rsid w:val="2DEC6710"/>
    <w:rsid w:val="2E400F46"/>
    <w:rsid w:val="2FAE762C"/>
    <w:rsid w:val="302B4483"/>
    <w:rsid w:val="30446AC1"/>
    <w:rsid w:val="30D04370"/>
    <w:rsid w:val="31364808"/>
    <w:rsid w:val="31737CCF"/>
    <w:rsid w:val="318D1842"/>
    <w:rsid w:val="31C12F4C"/>
    <w:rsid w:val="33254DEB"/>
    <w:rsid w:val="34190192"/>
    <w:rsid w:val="368343F7"/>
    <w:rsid w:val="37542BF3"/>
    <w:rsid w:val="37A26320"/>
    <w:rsid w:val="382D2906"/>
    <w:rsid w:val="38DE5B71"/>
    <w:rsid w:val="39303A1D"/>
    <w:rsid w:val="39B202E9"/>
    <w:rsid w:val="39BF540B"/>
    <w:rsid w:val="3A3418CC"/>
    <w:rsid w:val="3D764DF9"/>
    <w:rsid w:val="3EBB0349"/>
    <w:rsid w:val="3F3D3A4E"/>
    <w:rsid w:val="3FF84355"/>
    <w:rsid w:val="41801BF2"/>
    <w:rsid w:val="41DE60F3"/>
    <w:rsid w:val="41E358FE"/>
    <w:rsid w:val="42031C5E"/>
    <w:rsid w:val="4282620A"/>
    <w:rsid w:val="42C120C3"/>
    <w:rsid w:val="43014502"/>
    <w:rsid w:val="4352624C"/>
    <w:rsid w:val="44496226"/>
    <w:rsid w:val="44657EFE"/>
    <w:rsid w:val="44751EB7"/>
    <w:rsid w:val="449C2692"/>
    <w:rsid w:val="44F45C30"/>
    <w:rsid w:val="4590654A"/>
    <w:rsid w:val="460F59FC"/>
    <w:rsid w:val="46875359"/>
    <w:rsid w:val="48055A77"/>
    <w:rsid w:val="482C73CE"/>
    <w:rsid w:val="48F6071D"/>
    <w:rsid w:val="49DA7FA3"/>
    <w:rsid w:val="4A262FDB"/>
    <w:rsid w:val="4A4D4348"/>
    <w:rsid w:val="4A745E93"/>
    <w:rsid w:val="4AAA7A11"/>
    <w:rsid w:val="4AC3564E"/>
    <w:rsid w:val="4B0E6E44"/>
    <w:rsid w:val="4B9E713C"/>
    <w:rsid w:val="4BAD0B24"/>
    <w:rsid w:val="4BB5774C"/>
    <w:rsid w:val="4BCA1072"/>
    <w:rsid w:val="4BCE75A2"/>
    <w:rsid w:val="4BD50442"/>
    <w:rsid w:val="4BF20B81"/>
    <w:rsid w:val="4C347EF7"/>
    <w:rsid w:val="4C42741D"/>
    <w:rsid w:val="4C8E0928"/>
    <w:rsid w:val="4C9B405C"/>
    <w:rsid w:val="4D426840"/>
    <w:rsid w:val="4DE4611D"/>
    <w:rsid w:val="4E511731"/>
    <w:rsid w:val="4E5214A5"/>
    <w:rsid w:val="4E7B5546"/>
    <w:rsid w:val="4F5904A2"/>
    <w:rsid w:val="4FF67B47"/>
    <w:rsid w:val="501B21DB"/>
    <w:rsid w:val="50205D79"/>
    <w:rsid w:val="50BB22A7"/>
    <w:rsid w:val="5349426B"/>
    <w:rsid w:val="539A5724"/>
    <w:rsid w:val="546E3F05"/>
    <w:rsid w:val="5491183A"/>
    <w:rsid w:val="54DE7482"/>
    <w:rsid w:val="55D55C3C"/>
    <w:rsid w:val="565516D4"/>
    <w:rsid w:val="56B92CD7"/>
    <w:rsid w:val="56BC6DF4"/>
    <w:rsid w:val="575A4CDE"/>
    <w:rsid w:val="579E21DF"/>
    <w:rsid w:val="58C20E44"/>
    <w:rsid w:val="58D766B9"/>
    <w:rsid w:val="58EA3C13"/>
    <w:rsid w:val="59F76345"/>
    <w:rsid w:val="5AC20F4F"/>
    <w:rsid w:val="5B215EAD"/>
    <w:rsid w:val="5B701157"/>
    <w:rsid w:val="5B7F7374"/>
    <w:rsid w:val="5C336BE9"/>
    <w:rsid w:val="5C40507F"/>
    <w:rsid w:val="5C536D64"/>
    <w:rsid w:val="5C931A69"/>
    <w:rsid w:val="5CC234A5"/>
    <w:rsid w:val="5D2E6068"/>
    <w:rsid w:val="5D475233"/>
    <w:rsid w:val="5E7B35FC"/>
    <w:rsid w:val="5F01032E"/>
    <w:rsid w:val="601939CB"/>
    <w:rsid w:val="60543AD3"/>
    <w:rsid w:val="61B71D9C"/>
    <w:rsid w:val="62B66AFB"/>
    <w:rsid w:val="63937682"/>
    <w:rsid w:val="641301EA"/>
    <w:rsid w:val="64CF63F4"/>
    <w:rsid w:val="657B7B75"/>
    <w:rsid w:val="658A7362"/>
    <w:rsid w:val="65ED5044"/>
    <w:rsid w:val="66A6552C"/>
    <w:rsid w:val="673A7430"/>
    <w:rsid w:val="6756252B"/>
    <w:rsid w:val="67BF6216"/>
    <w:rsid w:val="68624E38"/>
    <w:rsid w:val="690E19C9"/>
    <w:rsid w:val="69313AB9"/>
    <w:rsid w:val="694678B7"/>
    <w:rsid w:val="696D3186"/>
    <w:rsid w:val="6A062771"/>
    <w:rsid w:val="6ACD5B9B"/>
    <w:rsid w:val="6AD00745"/>
    <w:rsid w:val="6C514CFF"/>
    <w:rsid w:val="6C684ADD"/>
    <w:rsid w:val="6FE52AD2"/>
    <w:rsid w:val="70043610"/>
    <w:rsid w:val="70086310"/>
    <w:rsid w:val="70435849"/>
    <w:rsid w:val="70DA43C9"/>
    <w:rsid w:val="70F00A96"/>
    <w:rsid w:val="719B190A"/>
    <w:rsid w:val="72747502"/>
    <w:rsid w:val="75892108"/>
    <w:rsid w:val="76F51ECB"/>
    <w:rsid w:val="77177630"/>
    <w:rsid w:val="77817275"/>
    <w:rsid w:val="77FD21D7"/>
    <w:rsid w:val="7A147459"/>
    <w:rsid w:val="7A6E4128"/>
    <w:rsid w:val="7ACF095D"/>
    <w:rsid w:val="7AFC6528"/>
    <w:rsid w:val="7B1E3C25"/>
    <w:rsid w:val="7B551150"/>
    <w:rsid w:val="7C8053FA"/>
    <w:rsid w:val="7CB71B8B"/>
    <w:rsid w:val="7DE534E1"/>
    <w:rsid w:val="7E3C663F"/>
    <w:rsid w:val="7E991298"/>
    <w:rsid w:val="7EFD017F"/>
    <w:rsid w:val="7FA27D87"/>
    <w:rsid w:val="7FB07440"/>
    <w:rsid w:val="F7DBA03B"/>
    <w:rsid w:val="FB37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2">
    <w:name w:val="heading 1"/>
    <w:basedOn w:val="3"/>
    <w:next w:val="1"/>
    <w:link w:val="37"/>
    <w:qFormat/>
    <w:uiPriority w:val="0"/>
    <w:pPr>
      <w:keepNext/>
      <w:keepLines/>
      <w:numPr>
        <w:ilvl w:val="0"/>
        <w:numId w:val="1"/>
      </w:numPr>
      <w:spacing w:before="60"/>
      <w:ind w:firstLineChars="0"/>
      <w:jc w:val="left"/>
    </w:pPr>
    <w:rPr>
      <w:rFonts w:ascii="Times New Roman" w:hAnsi="Times New Roman"/>
      <w:bCs/>
      <w:kern w:val="44"/>
      <w:sz w:val="28"/>
      <w:szCs w:val="44"/>
    </w:rPr>
  </w:style>
  <w:style w:type="paragraph" w:styleId="4">
    <w:name w:val="heading 2"/>
    <w:basedOn w:val="1"/>
    <w:next w:val="1"/>
    <w:link w:val="36"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3267"/>
      </w:tabs>
      <w:spacing w:before="40" w:after="40"/>
      <w:ind w:firstLineChars="0"/>
      <w:jc w:val="left"/>
      <w:outlineLvl w:val="1"/>
    </w:pPr>
    <w:rPr>
      <w:b/>
      <w:bCs/>
      <w:sz w:val="24"/>
      <w:szCs w:val="32"/>
    </w:rPr>
  </w:style>
  <w:style w:type="paragraph" w:styleId="5">
    <w:name w:val="heading 3"/>
    <w:basedOn w:val="1"/>
    <w:next w:val="1"/>
    <w:link w:val="38"/>
    <w:unhideWhenUsed/>
    <w:qFormat/>
    <w:uiPriority w:val="0"/>
    <w:pPr>
      <w:numPr>
        <w:ilvl w:val="2"/>
        <w:numId w:val="1"/>
      </w:numPr>
      <w:tabs>
        <w:tab w:val="left" w:pos="432"/>
      </w:tabs>
      <w:ind w:firstLineChars="0"/>
      <w:outlineLvl w:val="2"/>
    </w:pPr>
    <w:rPr>
      <w:rFonts w:cs="宋体"/>
      <w:b/>
      <w:bCs/>
      <w:sz w:val="24"/>
      <w:szCs w:val="32"/>
    </w:rPr>
  </w:style>
  <w:style w:type="paragraph" w:styleId="6">
    <w:name w:val="heading 4"/>
    <w:basedOn w:val="1"/>
    <w:next w:val="1"/>
    <w:link w:val="72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ind w:firstLineChars="0"/>
      <w:outlineLvl w:val="3"/>
    </w:pPr>
    <w:rPr>
      <w:rFonts w:ascii="Arial" w:hAnsi="Arial"/>
      <w:b/>
      <w:szCs w:val="22"/>
    </w:rPr>
  </w:style>
  <w:style w:type="paragraph" w:styleId="7">
    <w:name w:val="heading 5"/>
    <w:basedOn w:val="1"/>
    <w:next w:val="1"/>
    <w:link w:val="39"/>
    <w:unhideWhenUsed/>
    <w:qFormat/>
    <w:uiPriority w:val="0"/>
    <w:pPr>
      <w:keepNext/>
      <w:keepLines/>
      <w:tabs>
        <w:tab w:val="left" w:pos="432"/>
      </w:tabs>
      <w:ind w:firstLine="0" w:firstLineChars="0"/>
      <w:outlineLvl w:val="4"/>
    </w:pPr>
    <w:rPr>
      <w:b/>
      <w:szCs w:val="22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tabs>
        <w:tab w:val="left" w:pos="432"/>
      </w:tabs>
      <w:ind w:firstLine="0" w:firstLineChars="0"/>
      <w:outlineLvl w:val="5"/>
    </w:pPr>
    <w:rPr>
      <w:b/>
      <w:szCs w:val="22"/>
    </w:rPr>
  </w:style>
  <w:style w:type="paragraph" w:styleId="9">
    <w:name w:val="heading 7"/>
    <w:basedOn w:val="1"/>
    <w:next w:val="1"/>
    <w:link w:val="40"/>
    <w:unhideWhenUsed/>
    <w:qFormat/>
    <w:uiPriority w:val="0"/>
    <w:pPr>
      <w:keepNext/>
      <w:keepLines/>
      <w:widowControl/>
      <w:numPr>
        <w:ilvl w:val="6"/>
        <w:numId w:val="2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0">
    <w:name w:val="heading 8"/>
    <w:basedOn w:val="1"/>
    <w:next w:val="1"/>
    <w:unhideWhenUsed/>
    <w:qFormat/>
    <w:uiPriority w:val="0"/>
    <w:pPr>
      <w:keepNext/>
      <w:keepLines/>
      <w:numPr>
        <w:ilvl w:val="7"/>
        <w:numId w:val="2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1">
    <w:name w:val="heading 9"/>
    <w:basedOn w:val="1"/>
    <w:next w:val="1"/>
    <w:unhideWhenUsed/>
    <w:qFormat/>
    <w:uiPriority w:val="0"/>
    <w:pPr>
      <w:keepNext/>
      <w:keepLines/>
      <w:numPr>
        <w:ilvl w:val="8"/>
        <w:numId w:val="2"/>
      </w:numPr>
      <w:outlineLvl w:val="8"/>
    </w:pPr>
    <w:rPr>
      <w:b/>
      <w:szCs w:val="22"/>
    </w:rPr>
  </w:style>
  <w:style w:type="character" w:default="1" w:styleId="33">
    <w:name w:val="Default Paragraph Font"/>
    <w:semiHidden/>
    <w:unhideWhenUsed/>
    <w:uiPriority w:val="1"/>
  </w:style>
  <w:style w:type="table" w:default="1" w:styleId="3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2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caption"/>
    <w:basedOn w:val="1"/>
    <w:next w:val="1"/>
    <w:link w:val="41"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4">
    <w:name w:val="annotation text"/>
    <w:basedOn w:val="1"/>
    <w:unhideWhenUsed/>
    <w:qFormat/>
    <w:uiPriority w:val="0"/>
    <w:pPr>
      <w:jc w:val="left"/>
    </w:pPr>
  </w:style>
  <w:style w:type="paragraph" w:styleId="15">
    <w:name w:val="Body Text"/>
    <w:basedOn w:val="1"/>
    <w:unhideWhenUsed/>
    <w:qFormat/>
    <w:uiPriority w:val="0"/>
    <w:pPr>
      <w:spacing w:after="120"/>
    </w:pPr>
  </w:style>
  <w:style w:type="paragraph" w:styleId="16">
    <w:name w:val="Body Text Indent"/>
    <w:basedOn w:val="1"/>
    <w:link w:val="65"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66"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0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footer"/>
    <w:basedOn w:val="1"/>
    <w:next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3">
    <w:name w:val="toc 1"/>
    <w:basedOn w:val="1"/>
    <w:next w:val="1"/>
    <w:link w:val="42"/>
    <w:qFormat/>
    <w:uiPriority w:val="39"/>
    <w:pPr>
      <w:tabs>
        <w:tab w:val="right" w:leader="dot" w:pos="8788"/>
      </w:tabs>
      <w:ind w:firstLine="0" w:firstLineChars="0"/>
    </w:pPr>
  </w:style>
  <w:style w:type="paragraph" w:styleId="24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5">
    <w:name w:val="footnote text"/>
    <w:basedOn w:val="1"/>
    <w:link w:val="52"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6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7">
    <w:name w:val="toc 2"/>
    <w:basedOn w:val="1"/>
    <w:next w:val="1"/>
    <w:qFormat/>
    <w:uiPriority w:val="39"/>
    <w:pPr>
      <w:ind w:left="420" w:leftChars="200" w:firstLine="0" w:firstLineChars="0"/>
    </w:pPr>
  </w:style>
  <w:style w:type="paragraph" w:styleId="28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9">
    <w:name w:val="Normal (Web)"/>
    <w:basedOn w:val="1"/>
    <w:qFormat/>
    <w:uiPriority w:val="99"/>
    <w:pPr>
      <w:spacing w:beforeAutospacing="1" w:afterAutospacing="1"/>
      <w:jc w:val="left"/>
    </w:pPr>
    <w:rPr>
      <w:sz w:val="24"/>
    </w:rPr>
  </w:style>
  <w:style w:type="paragraph" w:styleId="30">
    <w:name w:val="Body Text First Indent"/>
    <w:basedOn w:val="15"/>
    <w:qFormat/>
    <w:uiPriority w:val="0"/>
    <w:pPr>
      <w:ind w:firstLine="420"/>
    </w:pPr>
    <w:rPr>
      <w:sz w:val="24"/>
      <w:szCs w:val="20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Hyperlink"/>
    <w:basedOn w:val="33"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5">
    <w:name w:val="annotation reference"/>
    <w:basedOn w:val="33"/>
    <w:unhideWhenUsed/>
    <w:qFormat/>
    <w:uiPriority w:val="0"/>
    <w:rPr>
      <w:sz w:val="21"/>
      <w:szCs w:val="21"/>
    </w:rPr>
  </w:style>
  <w:style w:type="character" w:customStyle="1" w:styleId="36">
    <w:name w:val="标题 2 字符"/>
    <w:link w:val="4"/>
    <w:qFormat/>
    <w:uiPriority w:val="0"/>
    <w:rPr>
      <w:rFonts w:ascii="宋体" w:hAnsi="宋体"/>
      <w:b/>
      <w:bCs/>
      <w:sz w:val="24"/>
      <w:szCs w:val="32"/>
    </w:rPr>
  </w:style>
  <w:style w:type="character" w:customStyle="1" w:styleId="37">
    <w:name w:val="标题 1 字符"/>
    <w:link w:val="2"/>
    <w:qFormat/>
    <w:uiPriority w:val="0"/>
    <w:rPr>
      <w:b/>
      <w:bCs/>
      <w:kern w:val="44"/>
      <w:sz w:val="28"/>
      <w:szCs w:val="44"/>
    </w:rPr>
  </w:style>
  <w:style w:type="character" w:customStyle="1" w:styleId="38">
    <w:name w:val="标题 3 字符"/>
    <w:link w:val="5"/>
    <w:qFormat/>
    <w:uiPriority w:val="0"/>
    <w:rPr>
      <w:rFonts w:ascii="宋体" w:hAnsi="宋体" w:cs="宋体"/>
      <w:b/>
      <w:bCs/>
      <w:sz w:val="24"/>
      <w:szCs w:val="32"/>
    </w:rPr>
  </w:style>
  <w:style w:type="character" w:customStyle="1" w:styleId="39">
    <w:name w:val="标题 5 字符"/>
    <w:link w:val="7"/>
    <w:qFormat/>
    <w:uiPriority w:val="9"/>
    <w:rPr>
      <w:rFonts w:ascii="宋体" w:hAnsi="宋体"/>
      <w:b/>
      <w:sz w:val="21"/>
      <w:szCs w:val="22"/>
    </w:rPr>
  </w:style>
  <w:style w:type="character" w:customStyle="1" w:styleId="40">
    <w:name w:val="标题 7 字符"/>
    <w:link w:val="9"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41">
    <w:name w:val="题注 字符"/>
    <w:link w:val="13"/>
    <w:qFormat/>
    <w:uiPriority w:val="35"/>
    <w:rPr>
      <w:rFonts w:ascii="宋体" w:hAnsi="宋体"/>
      <w:sz w:val="18"/>
      <w:szCs w:val="22"/>
    </w:rPr>
  </w:style>
  <w:style w:type="character" w:customStyle="1" w:styleId="42">
    <w:name w:val="TOC 1 字符"/>
    <w:link w:val="23"/>
    <w:qFormat/>
    <w:uiPriority w:val="0"/>
  </w:style>
  <w:style w:type="paragraph" w:customStyle="1" w:styleId="43">
    <w:name w:val="表格文本"/>
    <w:basedOn w:val="1"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4">
    <w:name w:val="表格体"/>
    <w:basedOn w:val="1"/>
    <w:link w:val="45"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5">
    <w:name w:val="表格体 字符"/>
    <w:link w:val="44"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6">
    <w:name w:val="图样式"/>
    <w:basedOn w:val="1"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47">
    <w:name w:val="TOC 标题1"/>
    <w:basedOn w:val="1"/>
    <w:next w:val="1"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48">
    <w:name w:val="列表段落1"/>
    <w:basedOn w:val="1"/>
    <w:link w:val="49"/>
    <w:qFormat/>
    <w:uiPriority w:val="34"/>
    <w:pPr>
      <w:ind w:firstLine="420"/>
    </w:pPr>
  </w:style>
  <w:style w:type="character" w:customStyle="1" w:styleId="49">
    <w:name w:val="列表段落 字符"/>
    <w:link w:val="48"/>
    <w:qFormat/>
    <w:uiPriority w:val="34"/>
    <w:rPr>
      <w:rFonts w:ascii="宋体" w:hAnsi="宋体"/>
      <w:sz w:val="21"/>
      <w:szCs w:val="21"/>
    </w:rPr>
  </w:style>
  <w:style w:type="paragraph" w:customStyle="1" w:styleId="50">
    <w:name w:val="文内正文"/>
    <w:basedOn w:val="48"/>
    <w:link w:val="51"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1">
    <w:name w:val="文内正文 字符"/>
    <w:basedOn w:val="33"/>
    <w:link w:val="50"/>
    <w:qFormat/>
    <w:uiPriority w:val="0"/>
    <w:rPr>
      <w:rFonts w:ascii="宋体" w:hAnsi="宋体" w:cs="宋体"/>
      <w:sz w:val="21"/>
      <w:szCs w:val="24"/>
    </w:rPr>
  </w:style>
  <w:style w:type="character" w:customStyle="1" w:styleId="52">
    <w:name w:val="脚注文本 字符"/>
    <w:basedOn w:val="33"/>
    <w:link w:val="25"/>
    <w:qFormat/>
    <w:uiPriority w:val="0"/>
    <w:rPr>
      <w:rFonts w:ascii="宋体" w:hAnsi="宋体" w:cs="宋体"/>
      <w:sz w:val="18"/>
      <w:szCs w:val="18"/>
    </w:rPr>
  </w:style>
  <w:style w:type="paragraph" w:customStyle="1" w:styleId="53">
    <w:name w:val="术语2.1"/>
    <w:basedOn w:val="1"/>
    <w:qFormat/>
    <w:uiPriority w:val="0"/>
    <w:pPr>
      <w:keepNext/>
      <w:widowControl/>
      <w:numPr>
        <w:ilvl w:val="1"/>
        <w:numId w:val="3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4">
    <w:name w:val="图片下标"/>
    <w:basedOn w:val="13"/>
    <w:link w:val="55"/>
    <w:qFormat/>
    <w:uiPriority w:val="0"/>
    <w:pPr>
      <w:widowControl/>
      <w:numPr>
        <w:ilvl w:val="0"/>
        <w:numId w:val="4"/>
      </w:numPr>
    </w:pPr>
    <w:rPr>
      <w:rFonts w:cs="Arial"/>
      <w:szCs w:val="18"/>
    </w:rPr>
  </w:style>
  <w:style w:type="character" w:customStyle="1" w:styleId="55">
    <w:name w:val="图片下标 字符"/>
    <w:basedOn w:val="41"/>
    <w:link w:val="54"/>
    <w:qFormat/>
    <w:uiPriority w:val="0"/>
    <w:rPr>
      <w:rFonts w:ascii="宋体" w:hAnsi="宋体" w:cs="Arial"/>
      <w:sz w:val="18"/>
      <w:szCs w:val="18"/>
    </w:rPr>
  </w:style>
  <w:style w:type="paragraph" w:customStyle="1" w:styleId="56">
    <w:name w:val="Section7"/>
    <w:basedOn w:val="9"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57">
    <w:name w:val="Section8"/>
    <w:basedOn w:val="10"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58">
    <w:name w:val="文内标题一"/>
    <w:basedOn w:val="2"/>
    <w:qFormat/>
    <w:uiPriority w:val="0"/>
    <w:pPr>
      <w:keepNext w:val="0"/>
      <w:keepLines w:val="0"/>
      <w:widowControl/>
      <w:numPr>
        <w:numId w:val="0"/>
      </w:numPr>
      <w:ind w:left="1134" w:hanging="1134"/>
    </w:pPr>
    <w:rPr>
      <w:rFonts w:ascii="宋体" w:hAnsi="宋体" w:cstheme="minorBidi"/>
    </w:rPr>
  </w:style>
  <w:style w:type="paragraph" w:customStyle="1" w:styleId="59">
    <w:name w:val="文内标题二"/>
    <w:basedOn w:val="4"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0">
    <w:name w:val="文内标题三"/>
    <w:basedOn w:val="5"/>
    <w:link w:val="61"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1">
    <w:name w:val="文内标题三 字符"/>
    <w:basedOn w:val="38"/>
    <w:link w:val="60"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2">
    <w:name w:val="文内标题四"/>
    <w:basedOn w:val="63"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3">
    <w:name w:val="Section4"/>
    <w:basedOn w:val="6"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4">
    <w:name w:val="正文内容"/>
    <w:basedOn w:val="1"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5">
    <w:name w:val="正文文本缩进 字符"/>
    <w:basedOn w:val="33"/>
    <w:link w:val="16"/>
    <w:qFormat/>
    <w:uiPriority w:val="0"/>
    <w:rPr>
      <w:rFonts w:ascii="宋体" w:hAnsi="宋体"/>
      <w:sz w:val="21"/>
      <w:szCs w:val="21"/>
    </w:rPr>
  </w:style>
  <w:style w:type="character" w:customStyle="1" w:styleId="66">
    <w:name w:val="纯文本 字符"/>
    <w:basedOn w:val="33"/>
    <w:link w:val="19"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67">
    <w:name w:val="图表内容"/>
    <w:basedOn w:val="1"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68">
    <w:name w:val="未处理的提及1"/>
    <w:basedOn w:val="33"/>
    <w:unhideWhenUsed/>
    <w:qFormat/>
    <w:uiPriority w:val="99"/>
    <w:rPr>
      <w:color w:val="605E5C"/>
      <w:shd w:val="clear" w:color="auto" w:fill="E1DFDD"/>
    </w:rPr>
  </w:style>
  <w:style w:type="character" w:customStyle="1" w:styleId="69">
    <w:name w:val="未处理的提及2"/>
    <w:basedOn w:val="33"/>
    <w:unhideWhenUsed/>
    <w:qFormat/>
    <w:uiPriority w:val="99"/>
    <w:rPr>
      <w:color w:val="605E5C"/>
      <w:shd w:val="clear" w:color="auto" w:fill="E1DFDD"/>
    </w:rPr>
  </w:style>
  <w:style w:type="paragraph" w:customStyle="1" w:styleId="70">
    <w:name w:val="p1"/>
    <w:basedOn w:val="1"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  <w:style w:type="paragraph" w:styleId="71">
    <w:name w:val="List Paragraph"/>
    <w:basedOn w:val="1"/>
    <w:qFormat/>
    <w:uiPriority w:val="34"/>
    <w:pPr>
      <w:ind w:firstLine="420"/>
    </w:pPr>
  </w:style>
  <w:style w:type="character" w:customStyle="1" w:styleId="72">
    <w:name w:val="标题 4 字符"/>
    <w:basedOn w:val="33"/>
    <w:link w:val="6"/>
    <w:qFormat/>
    <w:uiPriority w:val="0"/>
    <w:rPr>
      <w:rFonts w:ascii="Arial" w:hAnsi="Arial"/>
      <w:b/>
      <w:sz w:val="21"/>
      <w:szCs w:val="22"/>
    </w:rPr>
  </w:style>
  <w:style w:type="character" w:customStyle="1" w:styleId="73">
    <w:name w:val="未处理的提及3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4">
    <w:name w:val="未处理的提及4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5">
    <w:name w:val="未处理的提及5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未处理的提及6"/>
    <w:basedOn w:val="3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F7DF6E-677D-40A5-A53A-7F6D0AB9F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949</Words>
  <Characters>5415</Characters>
  <Lines>45</Lines>
  <Paragraphs>12</Paragraphs>
  <TotalTime>2</TotalTime>
  <ScaleCrop>false</ScaleCrop>
  <LinksUpToDate>false</LinksUpToDate>
  <CharactersWithSpaces>6352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2022-05-18T08:55:00Z</dcterms:created>
  <dc:creator>powersi</dc:creator>
  <cp:lastModifiedBy>chase</cp:lastModifiedBy>
  <dcterms:modified xsi:type="dcterms:W3CDTF">2023-11-17T07:06:06Z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11F42C973D98420A8DEC55FFC627E0F6</vt:lpwstr>
  </property>
</Properties>
</file>