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ascii="黑体" w:hAnsi="黑体" w:eastAsia="黑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黑体" w:hAnsi="黑体" w:eastAsia="黑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</w:rPr>
        <w:t>全量版用户使用手册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4992" w:afterLines="1600" w:line="480" w:lineRule="auto"/>
        <w:ind w:firstLine="0" w:firstLineChars="0"/>
        <w:jc w:val="center"/>
        <w:rPr>
          <w:rFonts w:ascii="黑体" w:hAnsi="黑体" w:eastAsia="黑体"/>
          <w:sz w:val="40"/>
          <w:szCs w:val="40"/>
        </w:rPr>
      </w:pPr>
      <w:r>
        <w:rPr>
          <w:rFonts w:hint="eastAsia" w:ascii="黑体" w:hAnsi="黑体" w:eastAsia="黑体"/>
          <w:sz w:val="40"/>
          <w:szCs w:val="40"/>
        </w:rPr>
        <w:t>药品和医用耗材招采管理子系统-国家集采合同签订</w:t>
      </w:r>
    </w:p>
    <w:p>
      <w:pPr>
        <w:spacing w:line="480" w:lineRule="auto"/>
        <w:ind w:firstLine="0" w:firstLineChars="0"/>
        <w:jc w:val="center"/>
        <w:rPr>
          <w:rFonts w:ascii="楷体" w:hAnsi="楷体" w:eastAsia="楷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ascii="楷体" w:hAnsi="楷体" w:eastAsia="楷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ascii="楷体" w:hAnsi="楷体" w:eastAsia="楷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ascii="楷体" w:hAnsi="楷体" w:eastAsia="楷体"/>
          <w:sz w:val="32"/>
          <w:szCs w:val="32"/>
        </w:rPr>
      </w:pPr>
      <w:r>
        <w:rPr>
          <w:rFonts w:ascii="楷体" w:hAnsi="楷体" w:eastAsia="楷体"/>
          <w:sz w:val="32"/>
          <w:szCs w:val="32"/>
        </w:rPr>
        <w:t>2022年</w:t>
      </w:r>
      <w:r>
        <w:rPr>
          <w:rFonts w:hint="eastAsia" w:ascii="楷体" w:hAnsi="楷体" w:eastAsia="楷体"/>
          <w:sz w:val="32"/>
          <w:szCs w:val="32"/>
        </w:rPr>
        <w:t>0</w:t>
      </w:r>
      <w:r>
        <w:rPr>
          <w:rFonts w:ascii="楷体" w:hAnsi="楷体" w:eastAsia="楷体"/>
          <w:sz w:val="32"/>
          <w:szCs w:val="32"/>
        </w:rPr>
        <w:t>5月</w:t>
      </w:r>
    </w:p>
    <w:p>
      <w:pPr>
        <w:spacing w:line="480" w:lineRule="auto"/>
        <w:ind w:firstLine="0" w:firstLineChars="0"/>
        <w:jc w:val="center"/>
        <w:rPr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</w:rPr>
        <w:t>修订记录</w:t>
      </w:r>
    </w:p>
    <w:tbl>
      <w:tblPr>
        <w:tblStyle w:val="3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7"/>
        <w:gridCol w:w="1078"/>
        <w:gridCol w:w="1225"/>
        <w:gridCol w:w="3517"/>
        <w:gridCol w:w="1269"/>
        <w:gridCol w:w="11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" w:hRule="atLeast"/>
          <w:tblHeader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序号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版本号</w:t>
            </w: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日期</w:t>
            </w:r>
          </w:p>
        </w:tc>
        <w:tc>
          <w:tcPr>
            <w:tcW w:w="3429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修订内容</w:t>
            </w: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修订人</w:t>
            </w: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b/>
                <w:bCs/>
                <w:sz w:val="21"/>
                <w:szCs w:val="21"/>
              </w:rPr>
            </w:pPr>
            <w:r>
              <w:rPr>
                <w:rFonts w:hint="eastAsia" w:cs="宋体"/>
                <w:b/>
                <w:bCs/>
                <w:sz w:val="21"/>
                <w:szCs w:val="21"/>
              </w:rPr>
              <w:t>审核人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1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V</w:t>
            </w:r>
            <w:r>
              <w:rPr>
                <w:rFonts w:cs="宋体"/>
                <w:sz w:val="21"/>
                <w:szCs w:val="21"/>
              </w:rPr>
              <w:t>1.0.0</w:t>
            </w: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20210</w:t>
            </w:r>
            <w:r>
              <w:rPr>
                <w:rFonts w:cs="宋体"/>
                <w:sz w:val="21"/>
                <w:szCs w:val="21"/>
              </w:rPr>
              <w:t>520</w:t>
            </w:r>
          </w:p>
        </w:tc>
        <w:tc>
          <w:tcPr>
            <w:tcW w:w="3429" w:type="dxa"/>
            <w:vAlign w:val="center"/>
          </w:tcPr>
          <w:p>
            <w:pPr>
              <w:pStyle w:val="44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初稿</w:t>
            </w: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涂小丽</w:t>
            </w: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吴玉群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2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3429" w:type="dxa"/>
            <w:vAlign w:val="center"/>
          </w:tcPr>
          <w:p>
            <w:pPr>
              <w:pStyle w:val="44"/>
              <w:rPr>
                <w:rFonts w:cs="宋体"/>
                <w:sz w:val="21"/>
                <w:szCs w:val="21"/>
              </w:rPr>
            </w:pP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3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3429" w:type="dxa"/>
            <w:vAlign w:val="center"/>
          </w:tcPr>
          <w:p>
            <w:pPr>
              <w:pStyle w:val="44"/>
              <w:rPr>
                <w:rFonts w:cs="宋体"/>
                <w:sz w:val="21"/>
                <w:szCs w:val="21"/>
              </w:rPr>
            </w:pP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4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3429" w:type="dxa"/>
            <w:vAlign w:val="center"/>
          </w:tcPr>
          <w:p>
            <w:pPr>
              <w:pStyle w:val="44"/>
              <w:rPr>
                <w:rFonts w:cs="宋体"/>
                <w:sz w:val="21"/>
                <w:szCs w:val="21"/>
              </w:rPr>
            </w:pP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" w:hRule="atLeast"/>
        </w:trPr>
        <w:tc>
          <w:tcPr>
            <w:tcW w:w="748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  <w:r>
              <w:rPr>
                <w:rFonts w:hint="eastAsia" w:cs="宋体"/>
                <w:sz w:val="21"/>
                <w:szCs w:val="21"/>
              </w:rPr>
              <w:t>5</w:t>
            </w:r>
          </w:p>
        </w:tc>
        <w:tc>
          <w:tcPr>
            <w:tcW w:w="1051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94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3429" w:type="dxa"/>
            <w:vAlign w:val="center"/>
          </w:tcPr>
          <w:p>
            <w:pPr>
              <w:pStyle w:val="44"/>
              <w:rPr>
                <w:rFonts w:cs="宋体"/>
                <w:sz w:val="21"/>
                <w:szCs w:val="21"/>
              </w:rPr>
            </w:pPr>
          </w:p>
        </w:tc>
        <w:tc>
          <w:tcPr>
            <w:tcW w:w="123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  <w:tc>
          <w:tcPr>
            <w:tcW w:w="1117" w:type="dxa"/>
            <w:vAlign w:val="center"/>
          </w:tcPr>
          <w:p>
            <w:pPr>
              <w:pStyle w:val="44"/>
              <w:jc w:val="center"/>
              <w:rPr>
                <w:rFonts w:cs="宋体"/>
                <w:sz w:val="21"/>
                <w:szCs w:val="21"/>
              </w:rPr>
            </w:pPr>
          </w:p>
        </w:tc>
      </w:tr>
    </w:tbl>
    <w:p>
      <w:pPr>
        <w:ind w:firstLine="420"/>
      </w:pPr>
      <w:r>
        <w:rPr>
          <w:rFonts w:hint="eastAsia"/>
        </w:rPr>
        <w:t>注：</w:t>
      </w:r>
    </w:p>
    <w:p>
      <w:pPr>
        <w:ind w:firstLine="420"/>
      </w:pPr>
      <w:r>
        <w:rPr>
          <w:rFonts w:hint="eastAsia"/>
        </w:rPr>
        <w:t>1、请每个分册直接copy封面和修订记录页。</w:t>
      </w:r>
    </w:p>
    <w:p>
      <w:pPr>
        <w:ind w:firstLine="420"/>
      </w:pPr>
      <w:r>
        <w:rPr>
          <w:rFonts w:hint="eastAsia"/>
        </w:rPr>
        <w:t>2、【修订内容】不可以写“根据XXX评审意见修改”，要写实际修改内容（概括性），例如修改了第几章什么内容等。</w:t>
      </w:r>
    </w:p>
    <w:p>
      <w:pPr>
        <w:widowControl/>
        <w:spacing w:line="240" w:lineRule="auto"/>
        <w:ind w:firstLine="0" w:firstLineChars="0"/>
        <w:jc w:val="left"/>
      </w:pPr>
      <w:r>
        <w:br w:type="page"/>
      </w:r>
    </w:p>
    <w:p>
      <w:pPr>
        <w:ind w:firstLine="0" w:firstLineChars="0"/>
        <w:jc w:val="center"/>
        <w:rPr>
          <w:b/>
          <w:bCs/>
          <w:sz w:val="30"/>
          <w:szCs w:val="30"/>
        </w:rPr>
      </w:pPr>
      <w:r>
        <w:rPr>
          <w:rFonts w:hint="eastAsia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_Toc20513 </w:instrText>
      </w:r>
      <w:r>
        <w:fldChar w:fldCharType="separate"/>
      </w:r>
      <w:r>
        <w:t xml:space="preserve">1. </w:t>
      </w:r>
      <w:r>
        <w:rPr>
          <w:rFonts w:hint="eastAsia"/>
        </w:rPr>
        <w:t>引言</w:t>
      </w:r>
      <w:r>
        <w:tab/>
      </w:r>
      <w:r>
        <w:fldChar w:fldCharType="begin"/>
      </w:r>
      <w:r>
        <w:instrText xml:space="preserve"> PAGEREF _Toc20513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_Toc30457 </w:instrText>
      </w:r>
      <w:r>
        <w:rPr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t>目的</w:t>
      </w:r>
      <w:r>
        <w:tab/>
      </w:r>
      <w:r>
        <w:fldChar w:fldCharType="begin"/>
      </w:r>
      <w:r>
        <w:instrText xml:space="preserve"> PAGEREF _Toc30457 \h </w:instrText>
      </w:r>
      <w:r>
        <w:fldChar w:fldCharType="separate"/>
      </w:r>
      <w:r>
        <w:t>1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_Toc30937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1</w:t>
      </w:r>
      <w:r>
        <w:t>.2 项目背景</w:t>
      </w:r>
      <w:r>
        <w:tab/>
      </w:r>
      <w:r>
        <w:fldChar w:fldCharType="begin"/>
      </w:r>
      <w:r>
        <w:instrText xml:space="preserve"> PAGEREF _Toc30937 \h </w:instrText>
      </w:r>
      <w:r>
        <w:fldChar w:fldCharType="separate"/>
      </w:r>
      <w:r>
        <w:t>1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_Toc26349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1</w:t>
      </w:r>
      <w:r>
        <w:t>.3 参考资料</w:t>
      </w:r>
      <w:r>
        <w:tab/>
      </w:r>
      <w:r>
        <w:fldChar w:fldCharType="begin"/>
      </w:r>
      <w:r>
        <w:instrText xml:space="preserve"> PAGEREF _Toc26349 \h </w:instrText>
      </w:r>
      <w:r>
        <w:fldChar w:fldCharType="separate"/>
      </w:r>
      <w:r>
        <w:t>1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3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_Toc31939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功能简介</w:t>
      </w:r>
      <w:r>
        <w:tab/>
      </w:r>
      <w:r>
        <w:fldChar w:fldCharType="begin"/>
      </w:r>
      <w:r>
        <w:instrText xml:space="preserve"> PAGEREF _Toc31939 \h </w:instrText>
      </w:r>
      <w:r>
        <w:fldChar w:fldCharType="separate"/>
      </w:r>
      <w:r>
        <w:t>2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_Toc10623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2</w:t>
      </w:r>
      <w:r>
        <w:t xml:space="preserve">.1 </w:t>
      </w:r>
      <w:r>
        <w:rPr>
          <w:rFonts w:hint="eastAsia"/>
        </w:rPr>
        <w:t>账号登录</w:t>
      </w:r>
      <w:r>
        <w:tab/>
      </w:r>
      <w:r>
        <w:fldChar w:fldCharType="begin"/>
      </w:r>
      <w:r>
        <w:instrText xml:space="preserve"> PAGEREF _Toc10623 \h </w:instrText>
      </w:r>
      <w:r>
        <w:fldChar w:fldCharType="separate"/>
      </w:r>
      <w:r>
        <w:t>2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_Toc27970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2</w:t>
      </w:r>
      <w:r>
        <w:t xml:space="preserve">.2 </w:t>
      </w:r>
      <w:r>
        <w:rPr>
          <w:rFonts w:hint="eastAsia"/>
        </w:rPr>
        <w:t>功能描述</w:t>
      </w:r>
      <w:r>
        <w:tab/>
      </w:r>
      <w:r>
        <w:fldChar w:fldCharType="begin"/>
      </w:r>
      <w:r>
        <w:instrText xml:space="preserve"> PAGEREF _Toc27970 \h </w:instrText>
      </w:r>
      <w:r>
        <w:fldChar w:fldCharType="separate"/>
      </w:r>
      <w:r>
        <w:t>2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_Toc17922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2</w:t>
      </w:r>
      <w:r>
        <w:t>.3 功</w:t>
      </w:r>
      <w:r>
        <w:rPr>
          <w:rFonts w:hint="eastAsia"/>
        </w:rPr>
        <w:t>能流程图</w:t>
      </w:r>
      <w:r>
        <w:tab/>
      </w:r>
      <w:r>
        <w:fldChar w:fldCharType="begin"/>
      </w:r>
      <w:r>
        <w:instrText xml:space="preserve"> PAGEREF _Toc17922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3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_Toc2520 </w:instrText>
      </w:r>
      <w:r>
        <w:rPr>
          <w:bCs/>
          <w:lang w:val="zh-CN"/>
        </w:rPr>
        <w:fldChar w:fldCharType="separate"/>
      </w:r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操作使用指南</w:t>
      </w:r>
      <w:r>
        <w:tab/>
      </w:r>
      <w:r>
        <w:fldChar w:fldCharType="begin"/>
      </w:r>
      <w:r>
        <w:instrText xml:space="preserve"> PAGEREF _Toc2520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_Toc25990 </w:instrText>
      </w:r>
      <w:r>
        <w:rPr>
          <w:bCs/>
          <w:lang w:val="zh-CN"/>
        </w:rPr>
        <w:fldChar w:fldCharType="separate"/>
      </w:r>
      <w:r>
        <w:t xml:space="preserve">3.2 </w:t>
      </w:r>
      <w:r>
        <w:rPr>
          <w:rFonts w:hint="eastAsia"/>
        </w:rPr>
        <w:t>主导医疗机构</w:t>
      </w:r>
      <w:r>
        <w:tab/>
      </w:r>
      <w:r>
        <w:fldChar w:fldCharType="begin"/>
      </w:r>
      <w:r>
        <w:instrText xml:space="preserve"> PAGEREF _Toc25990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18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_Toc26783 </w:instrText>
      </w:r>
      <w:r>
        <w:rPr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1.2.1 </w:t>
      </w:r>
      <w:r>
        <w:rPr>
          <w:rFonts w:hint="eastAsia"/>
        </w:rPr>
        <w:t>功能描述</w:t>
      </w:r>
      <w:r>
        <w:tab/>
      </w:r>
      <w:r>
        <w:fldChar w:fldCharType="begin"/>
      </w:r>
      <w:r>
        <w:instrText xml:space="preserve"> PAGEREF _Toc26783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18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_Toc14812 </w:instrText>
      </w:r>
      <w:r>
        <w:rPr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1.2.2 </w:t>
      </w:r>
      <w:r>
        <w:rPr>
          <w:rFonts w:hint="eastAsia"/>
        </w:rPr>
        <w:t>操作权限</w:t>
      </w:r>
      <w:r>
        <w:tab/>
      </w:r>
      <w:r>
        <w:fldChar w:fldCharType="begin"/>
      </w:r>
      <w:r>
        <w:instrText xml:space="preserve"> PAGEREF _Toc14812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18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_Toc8122 </w:instrText>
      </w:r>
      <w:r>
        <w:rPr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1.2.3 </w:t>
      </w:r>
      <w:r>
        <w:rPr>
          <w:rFonts w:hint="eastAsia"/>
        </w:rPr>
        <w:t>操作流程</w:t>
      </w:r>
      <w:r>
        <w:tab/>
      </w:r>
      <w:r>
        <w:fldChar w:fldCharType="begin"/>
      </w:r>
      <w:r>
        <w:instrText xml:space="preserve"> PAGEREF _Toc8122 \h </w:instrText>
      </w:r>
      <w:r>
        <w:fldChar w:fldCharType="separate"/>
      </w:r>
      <w:r>
        <w:t>3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pStyle w:val="18"/>
      </w:pPr>
      <w:r>
        <w:rPr>
          <w:bCs/>
          <w:lang w:val="zh-CN"/>
        </w:rPr>
        <w:fldChar w:fldCharType="begin"/>
      </w:r>
      <w:r>
        <w:rPr>
          <w:bCs/>
          <w:lang w:val="zh-CN"/>
        </w:rPr>
        <w:instrText xml:space="preserve"> HYPERLINK \l _Toc26060 </w:instrText>
      </w:r>
      <w:r>
        <w:rPr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1.2.4 </w:t>
      </w:r>
      <w:r>
        <w:rPr>
          <w:rFonts w:hint="eastAsia"/>
        </w:rPr>
        <w:t>注意事项</w:t>
      </w:r>
      <w:r>
        <w:tab/>
      </w:r>
      <w:r>
        <w:fldChar w:fldCharType="begin"/>
      </w:r>
      <w:r>
        <w:instrText xml:space="preserve"> PAGEREF _Toc26060 \h </w:instrText>
      </w:r>
      <w:r>
        <w:fldChar w:fldCharType="separate"/>
      </w:r>
      <w:r>
        <w:t>7</w:t>
      </w:r>
      <w:r>
        <w:fldChar w:fldCharType="end"/>
      </w:r>
      <w:r>
        <w:rPr>
          <w:bCs/>
          <w:lang w:val="zh-CN"/>
        </w:rPr>
        <w:fldChar w:fldCharType="end"/>
      </w:r>
    </w:p>
    <w:p>
      <w:pPr>
        <w:ind w:firstLine="420"/>
      </w:pPr>
      <w:r>
        <w:rPr>
          <w:bCs/>
          <w:lang w:val="zh-CN"/>
        </w:rPr>
        <w:fldChar w:fldCharType="end"/>
      </w:r>
    </w:p>
    <w:p>
      <w:pPr>
        <w:ind w:firstLine="0" w:firstLineChars="0"/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bookmarkStart w:id="19" w:name="_GoBack"/>
      <w:bookmarkEnd w:id="19"/>
    </w:p>
    <w:p>
      <w:pPr>
        <w:pStyle w:val="2"/>
        <w:numPr>
          <w:ilvl w:val="0"/>
          <w:numId w:val="5"/>
        </w:numPr>
      </w:pPr>
      <w:bookmarkStart w:id="1" w:name="_Toc20513"/>
      <w:r>
        <w:rPr>
          <w:rFonts w:hint="eastAsia"/>
        </w:rPr>
        <w:t>引言</w:t>
      </w:r>
      <w:bookmarkEnd w:id="1"/>
    </w:p>
    <w:p>
      <w:pPr>
        <w:pStyle w:val="4"/>
        <w:ind w:left="0"/>
      </w:pPr>
      <w:bookmarkStart w:id="2" w:name="_Toc30457"/>
      <w:r>
        <w:t>目的</w:t>
      </w:r>
      <w:bookmarkEnd w:id="2"/>
    </w:p>
    <w:p>
      <w:pPr>
        <w:ind w:firstLine="420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该手册是为了方便用户使用药品和医用耗材招采管理子系统（后面简称：招采子系统）</w:t>
      </w:r>
      <w:r>
        <w:rPr>
          <w:rFonts w:hint="eastAsia" w:ascii="Calibri" w:hAnsi="Calibri"/>
          <w:szCs w:val="22"/>
        </w:rPr>
        <w:t>-国家集采合同签订功能</w:t>
      </w:r>
      <w:r>
        <w:rPr>
          <w:rFonts w:ascii="Calibri" w:hAnsi="Calibri"/>
          <w:szCs w:val="22"/>
        </w:rPr>
        <w:t>，阐明如何使用</w:t>
      </w:r>
      <w:r>
        <w:rPr>
          <w:rFonts w:hint="eastAsia" w:ascii="Calibri" w:hAnsi="Calibri"/>
          <w:szCs w:val="22"/>
        </w:rPr>
        <w:t>该功能</w:t>
      </w:r>
      <w:r>
        <w:rPr>
          <w:rFonts w:ascii="Calibri" w:hAnsi="Calibri"/>
          <w:szCs w:val="22"/>
        </w:rPr>
        <w:t>，向用户解释该系统的作用或在必要时作为参考。</w:t>
      </w:r>
    </w:p>
    <w:p>
      <w:pPr>
        <w:ind w:firstLine="420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预期读者为地方医保单位经办人员、生产企业经办人员、医疗机构经办人员。</w:t>
      </w:r>
    </w:p>
    <w:p>
      <w:pPr>
        <w:pStyle w:val="4"/>
        <w:numPr>
          <w:ilvl w:val="0"/>
          <w:numId w:val="0"/>
        </w:numPr>
      </w:pPr>
      <w:bookmarkStart w:id="3" w:name="_Toc30937"/>
      <w:r>
        <w:rPr>
          <w:rFonts w:hint="eastAsia"/>
        </w:rPr>
        <w:t>1</w:t>
      </w:r>
      <w:r>
        <w:t>.2 项目背景</w:t>
      </w:r>
      <w:bookmarkEnd w:id="3"/>
    </w:p>
    <w:p>
      <w:pPr>
        <w:pStyle w:val="30"/>
        <w:ind w:left="59" w:firstLineChars="0"/>
      </w:pPr>
      <w:r>
        <w:rPr>
          <w:rFonts w:hint="eastAsia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</w:pPr>
      <w:r>
        <w:rPr>
          <w:rFonts w:hint="eastAsia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</w:t>
      </w:r>
    </w:p>
    <w:p>
      <w:pPr>
        <w:pStyle w:val="30"/>
        <w:ind w:left="59" w:firstLine="0" w:firstLineChars="0"/>
      </w:pPr>
      <w:r>
        <w:rPr>
          <w:rFonts w:hint="eastAsia"/>
        </w:rPr>
        <w:t>医疗保障信息平台建设内容包括标准规范体系建设、信息资源规划与数据库建设、14个业务系统的建设、基础设施建设以及1个应用支撑子系统的建设。</w:t>
      </w:r>
    </w:p>
    <w:p>
      <w:pPr>
        <w:pStyle w:val="50"/>
        <w:ind w:firstLine="420"/>
      </w:pPr>
      <w:r>
        <w:rPr>
          <w:rFonts w:hint="eastAsia" w:ascii="Calibri" w:hAnsi="Calibri"/>
          <w:szCs w:val="22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4"/>
        <w:numPr>
          <w:ilvl w:val="0"/>
          <w:numId w:val="0"/>
        </w:numPr>
      </w:pPr>
      <w:bookmarkStart w:id="4" w:name="_Toc26349"/>
      <w:r>
        <w:rPr>
          <w:rFonts w:hint="eastAsia"/>
        </w:rPr>
        <w:t>1</w:t>
      </w:r>
      <w:r>
        <w:t>.3 参考资料</w:t>
      </w:r>
      <w:bookmarkEnd w:id="4"/>
    </w:p>
    <w:p>
      <w:pPr>
        <w:pStyle w:val="30"/>
        <w:spacing w:after="0"/>
        <w:ind w:firstLineChars="0"/>
        <w:rPr>
          <w:szCs w:val="21"/>
        </w:rPr>
      </w:pPr>
      <w:r>
        <w:rPr>
          <w:rFonts w:hint="eastAsia"/>
          <w:szCs w:val="21"/>
        </w:rPr>
        <w:t>1、《文档标准编制规范》</w:t>
      </w:r>
    </w:p>
    <w:p>
      <w:pPr>
        <w:ind w:firstLine="420" w:firstLineChars="0"/>
      </w:pPr>
      <w:r>
        <w:rPr>
          <w:rFonts w:hint="eastAsia"/>
        </w:rPr>
        <w:t>2、</w:t>
      </w:r>
      <w:r>
        <w:t>《药品和医用耗材招采管理子系统需求规格说明书》</w:t>
      </w:r>
    </w:p>
    <w:p>
      <w:pPr>
        <w:pStyle w:val="2"/>
        <w:numPr>
          <w:ilvl w:val="0"/>
          <w:numId w:val="0"/>
        </w:numPr>
      </w:pPr>
      <w:bookmarkStart w:id="5" w:name="_Toc31939"/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功能简介</w:t>
      </w:r>
      <w:bookmarkEnd w:id="5"/>
    </w:p>
    <w:p>
      <w:pPr>
        <w:pStyle w:val="4"/>
        <w:numPr>
          <w:ilvl w:val="0"/>
          <w:numId w:val="0"/>
        </w:numPr>
      </w:pPr>
      <w:bookmarkStart w:id="6" w:name="_Toc10623"/>
      <w:r>
        <w:rPr>
          <w:rFonts w:hint="eastAsia"/>
        </w:rPr>
        <w:t>2</w:t>
      </w:r>
      <w:r>
        <w:t xml:space="preserve">.1 </w:t>
      </w:r>
      <w:r>
        <w:rPr>
          <w:rFonts w:hint="eastAsia"/>
        </w:rPr>
        <w:t>账号登录</w:t>
      </w:r>
      <w:bookmarkEnd w:id="6"/>
    </w:p>
    <w:p>
      <w:pPr>
        <w:ind w:firstLine="420"/>
        <w:rPr>
          <w:rFonts w:asciiTheme="minorHAnsi" w:hAnsiTheme="minorHAnsi" w:eastAsiaTheme="minorEastAsia" w:cstheme="minorBidi"/>
          <w:kern w:val="2"/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b/>
          <w:bCs/>
          <w:sz w:val="24"/>
          <w:szCs w:val="32"/>
        </w:rPr>
      </w:pPr>
      <w:r>
        <w:drawing>
          <wp:inline distT="0" distB="0" distL="0" distR="0">
            <wp:extent cx="5580380" cy="2849245"/>
            <wp:effectExtent l="0" t="0" r="127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Theme="minorHAnsi" w:hAnsiTheme="minorHAnsi" w:eastAsiaTheme="minorEastAsia" w:cstheme="minorBidi"/>
          <w:kern w:val="2"/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asciiTheme="minorHAnsi" w:hAnsiTheme="minorHAnsi" w:eastAsiaTheme="minorEastAsia" w:cstheme="minorBidi"/>
          <w:kern w:val="2"/>
          <w:sz w:val="21"/>
          <w:szCs w:val="22"/>
        </w:rPr>
      </w:pPr>
      <w:r>
        <w:drawing>
          <wp:inline distT="0" distB="0" distL="0" distR="0">
            <wp:extent cx="5580380" cy="2816225"/>
            <wp:effectExtent l="0" t="0" r="127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</w:pPr>
      <w:bookmarkStart w:id="7" w:name="_Toc27970"/>
      <w:r>
        <w:rPr>
          <w:rFonts w:hint="eastAsia"/>
        </w:rPr>
        <w:t>2</w:t>
      </w:r>
      <w:r>
        <w:t xml:space="preserve">.2 </w:t>
      </w:r>
      <w:r>
        <w:rPr>
          <w:rFonts w:hint="eastAsia"/>
        </w:rPr>
        <w:t>功能描述</w:t>
      </w:r>
      <w:bookmarkEnd w:id="7"/>
    </w:p>
    <w:p>
      <w:pPr>
        <w:ind w:firstLine="420"/>
        <w:rPr>
          <w:rFonts w:asciiTheme="minorHAnsi" w:hAnsiTheme="minorHAnsi" w:eastAsiaTheme="minorEastAsia" w:cstheme="minorBidi"/>
          <w:kern w:val="2"/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由医保管理单位发起集采合同签订项目，维护签约企业、医院绑定关系以及委托、合同模板后，主导医院牵头，进行成员医院的委托关系确认以及生产企业的签约关系确认，管理单位审核无误后，从而形成主导医院、成员医院、生产企业之间的委托及合同签订关系。</w:t>
      </w:r>
    </w:p>
    <w:p>
      <w:pPr>
        <w:ind w:firstLine="420"/>
        <w:rPr>
          <w:rFonts w:asciiTheme="minorHAnsi" w:hAnsiTheme="minorHAnsi" w:eastAsiaTheme="minorEastAsia" w:cstheme="minorBidi"/>
          <w:kern w:val="2"/>
          <w:szCs w:val="22"/>
        </w:rPr>
      </w:pPr>
    </w:p>
    <w:p>
      <w:pPr>
        <w:pStyle w:val="4"/>
        <w:numPr>
          <w:ilvl w:val="0"/>
          <w:numId w:val="0"/>
        </w:numPr>
      </w:pPr>
      <w:bookmarkStart w:id="8" w:name="_Toc17922"/>
      <w:r>
        <w:rPr>
          <w:rFonts w:hint="eastAsia"/>
        </w:rPr>
        <w:t>2</w:t>
      </w:r>
      <w:r>
        <w:t>.3 功</w:t>
      </w:r>
      <w:r>
        <w:rPr>
          <w:rFonts w:hint="eastAsia"/>
        </w:rPr>
        <w:t>能流程图</w:t>
      </w:r>
      <w:bookmarkEnd w:id="8"/>
    </w:p>
    <w:p>
      <w:pPr>
        <w:pStyle w:val="25"/>
        <w:jc w:val="center"/>
      </w:pPr>
      <w:r>
        <w:rPr>
          <w:rFonts w:hint="eastAsia"/>
        </w:rPr>
        <w:drawing>
          <wp:inline distT="0" distB="0" distL="0" distR="0">
            <wp:extent cx="5580380" cy="3840480"/>
            <wp:effectExtent l="0" t="0" r="1270" b="7620"/>
            <wp:docPr id="3003" name="图片 3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3" name="图片 300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国家集采合同签订流程</w:t>
      </w:r>
    </w:p>
    <w:p>
      <w:pPr>
        <w:pStyle w:val="2"/>
        <w:numPr>
          <w:ilvl w:val="0"/>
          <w:numId w:val="0"/>
        </w:numPr>
      </w:pPr>
      <w:bookmarkStart w:id="9" w:name="_Toc2520"/>
      <w:r>
        <w:rPr>
          <w:rFonts w:hint="eastAsia"/>
        </w:rPr>
        <w:t>3</w:t>
      </w:r>
      <w:r>
        <w:t xml:space="preserve">. </w:t>
      </w:r>
      <w:r>
        <w:rPr>
          <w:rFonts w:hint="eastAsia"/>
        </w:rPr>
        <w:t>操作使用指南</w:t>
      </w:r>
      <w:bookmarkEnd w:id="9"/>
    </w:p>
    <w:p>
      <w:pPr>
        <w:pStyle w:val="4"/>
        <w:numPr>
          <w:ilvl w:val="0"/>
          <w:numId w:val="0"/>
        </w:numPr>
      </w:pPr>
      <w:bookmarkStart w:id="10" w:name="_Toc25990"/>
      <w:r>
        <w:t xml:space="preserve">3.2 </w:t>
      </w:r>
      <w:r>
        <w:rPr>
          <w:rFonts w:hint="eastAsia"/>
        </w:rPr>
        <w:t>主导医疗机构</w:t>
      </w:r>
      <w:bookmarkEnd w:id="10"/>
    </w:p>
    <w:p>
      <w:pPr>
        <w:pStyle w:val="71"/>
        <w:widowControl/>
        <w:numPr>
          <w:ilvl w:val="1"/>
          <w:numId w:val="6"/>
        </w:numPr>
        <w:tabs>
          <w:tab w:val="left" w:pos="432"/>
          <w:tab w:val="left" w:pos="1568"/>
          <w:tab w:val="left" w:pos="3267"/>
        </w:tabs>
        <w:spacing w:before="40" w:after="40"/>
        <w:ind w:firstLineChars="0"/>
        <w:jc w:val="left"/>
        <w:outlineLvl w:val="1"/>
        <w:rPr>
          <w:b/>
          <w:bCs/>
          <w:vanish/>
          <w:sz w:val="24"/>
          <w:szCs w:val="32"/>
        </w:rPr>
      </w:pPr>
      <w:bookmarkStart w:id="11" w:name="_Toc103956565"/>
      <w:bookmarkEnd w:id="11"/>
      <w:bookmarkStart w:id="12" w:name="_Toc103958803"/>
      <w:bookmarkEnd w:id="12"/>
    </w:p>
    <w:p>
      <w:pPr>
        <w:pStyle w:val="71"/>
        <w:widowControl/>
        <w:numPr>
          <w:ilvl w:val="1"/>
          <w:numId w:val="6"/>
        </w:numPr>
        <w:tabs>
          <w:tab w:val="left" w:pos="432"/>
          <w:tab w:val="left" w:pos="1568"/>
          <w:tab w:val="left" w:pos="3267"/>
        </w:tabs>
        <w:spacing w:before="40" w:after="40"/>
        <w:ind w:firstLineChars="0"/>
        <w:jc w:val="left"/>
        <w:outlineLvl w:val="1"/>
        <w:rPr>
          <w:b/>
          <w:bCs/>
          <w:vanish/>
          <w:sz w:val="24"/>
          <w:szCs w:val="32"/>
        </w:rPr>
      </w:pPr>
      <w:bookmarkStart w:id="13" w:name="_Toc103956566"/>
      <w:bookmarkEnd w:id="13"/>
      <w:bookmarkStart w:id="14" w:name="_Toc103958804"/>
      <w:bookmarkEnd w:id="14"/>
    </w:p>
    <w:p>
      <w:pPr>
        <w:pStyle w:val="5"/>
        <w:numPr>
          <w:ilvl w:val="2"/>
          <w:numId w:val="6"/>
        </w:numPr>
      </w:pPr>
      <w:bookmarkStart w:id="15" w:name="_Toc26783"/>
      <w:r>
        <w:rPr>
          <w:rFonts w:hint="eastAsia"/>
        </w:rPr>
        <w:t>功能描述</w:t>
      </w:r>
      <w:bookmarkEnd w:id="15"/>
    </w:p>
    <w:p>
      <w:pPr>
        <w:tabs>
          <w:tab w:val="left" w:pos="1008"/>
        </w:tabs>
        <w:ind w:firstLine="420"/>
      </w:pPr>
      <w:r>
        <w:rPr>
          <w:rFonts w:hint="eastAsia"/>
        </w:rPr>
        <w:t>登录系统后，选择药品交易结算＞国家集采合同签订，进入菜单功能页面，可查看管理端上传的合同模板，签约厂商，成员医院等信息。并且需要上传与企业签约的签约合同，查看成员医院委托关系是否签订，厂商合同是否签订，并进行最终数据的上报</w:t>
      </w:r>
      <w:r>
        <w:t>。</w:t>
      </w:r>
    </w:p>
    <w:p>
      <w:pPr>
        <w:pStyle w:val="5"/>
      </w:pPr>
      <w:bookmarkStart w:id="16" w:name="_Toc14812"/>
      <w:r>
        <w:rPr>
          <w:rFonts w:hint="eastAsia"/>
        </w:rPr>
        <w:t>操作权限</w:t>
      </w:r>
      <w:bookmarkEnd w:id="16"/>
    </w:p>
    <w:p>
      <w:pPr>
        <w:pStyle w:val="50"/>
        <w:ind w:firstLine="420"/>
      </w:pPr>
      <w:r>
        <w:rPr>
          <w:rFonts w:hint="eastAsia"/>
        </w:rPr>
        <w:t>主导医疗机构：上传签约合同、委托、上报</w:t>
      </w:r>
    </w:p>
    <w:p>
      <w:pPr>
        <w:pStyle w:val="5"/>
      </w:pPr>
      <w:bookmarkStart w:id="17" w:name="_Toc8122"/>
      <w:r>
        <w:rPr>
          <w:rFonts w:hint="eastAsia"/>
        </w:rPr>
        <w:t>操作流程</w:t>
      </w:r>
      <w:bookmarkEnd w:id="17"/>
    </w:p>
    <w:p>
      <w:pPr>
        <w:pStyle w:val="50"/>
        <w:ind w:firstLine="422"/>
        <w:rPr>
          <w:b/>
          <w:bCs/>
        </w:rPr>
      </w:pPr>
      <w:r>
        <w:rPr>
          <w:rFonts w:hint="eastAsia"/>
          <w:b/>
          <w:bCs/>
        </w:rPr>
        <w:t>【列表】</w:t>
      </w:r>
    </w:p>
    <w:p>
      <w:pPr>
        <w:pStyle w:val="50"/>
        <w:ind w:firstLine="420"/>
      </w:pPr>
      <w:r>
        <w:rPr>
          <w:rFonts w:hint="eastAsia"/>
        </w:rPr>
        <w:t>1、点击国家集采合同签订菜单，进入列表，可看到作为主导医疗机构的所属全部项目，包括项目开始结束时间、签订开始结束时间，管理端下发的合同模板，管理端维护的签约厂商、成员医院等。可进行签约合同上传、委托关系查看、最终信息上报</w:t>
      </w:r>
    </w:p>
    <w:p>
      <w:pPr>
        <w:pStyle w:val="25"/>
        <w:jc w:val="center"/>
      </w:pPr>
      <w:r>
        <w:drawing>
          <wp:inline distT="0" distB="0" distL="0" distR="0">
            <wp:extent cx="5580380" cy="2426970"/>
            <wp:effectExtent l="0" t="0" r="127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主导医院-项目列表</w:t>
      </w:r>
    </w:p>
    <w:p>
      <w:pPr>
        <w:pStyle w:val="50"/>
        <w:ind w:firstLine="420"/>
      </w:pPr>
      <w:r>
        <w:rPr>
          <w:rFonts w:hint="eastAsia"/>
        </w:rPr>
        <w:t>【上传签约合同】</w:t>
      </w:r>
    </w:p>
    <w:p>
      <w:pPr>
        <w:pStyle w:val="50"/>
        <w:ind w:firstLine="420"/>
      </w:pPr>
      <w:r>
        <w:rPr>
          <w:rFonts w:hint="eastAsia"/>
        </w:rPr>
        <w:t>1、先下载列表中的《合同模板》</w:t>
      </w:r>
      <w:r>
        <w:t xml:space="preserve"> 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主导医院-先下载管理端下发的合同模板</w:t>
      </w:r>
    </w:p>
    <w:p>
      <w:pPr>
        <w:pStyle w:val="25"/>
        <w:ind w:firstLine="420" w:firstLineChars="200"/>
        <w:rPr>
          <w:sz w:val="21"/>
          <w:szCs w:val="24"/>
        </w:rPr>
      </w:pPr>
      <w:r>
        <w:rPr>
          <w:rFonts w:hint="eastAsia"/>
          <w:sz w:val="21"/>
          <w:szCs w:val="24"/>
        </w:rPr>
        <w:t>2、合同模板进行盖章后，点击【上传签约合同】，即可上传成功，发送至签约厂商。可以点击列表的“签约合同”进行上传文件的预览进行确认</w:t>
      </w:r>
    </w:p>
    <w:p>
      <w:pPr>
        <w:pStyle w:val="25"/>
        <w:ind w:firstLine="420" w:firstLineChars="200"/>
        <w:rPr>
          <w:color w:val="FF0000"/>
          <w:sz w:val="21"/>
          <w:szCs w:val="24"/>
        </w:rPr>
      </w:pPr>
      <w:r>
        <w:rPr>
          <w:rFonts w:hint="eastAsia"/>
          <w:color w:val="FF0000"/>
          <w:sz w:val="21"/>
          <w:szCs w:val="24"/>
        </w:rPr>
        <w:t>注：签约合同不要反复上传，否则厂商确认合同会不一致，优先一次性维护好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t>主导医院</w:t>
      </w:r>
      <w:r>
        <w:rPr>
          <w:rFonts w:hint="eastAsia"/>
        </w:rPr>
        <w:t>-</w:t>
      </w:r>
      <w:r>
        <w:t>上传盖章后的</w:t>
      </w:r>
      <w:r>
        <w:rPr>
          <w:rFonts w:hint="eastAsia"/>
        </w:rPr>
        <w:t>签约合同文件</w:t>
      </w:r>
    </w:p>
    <w:p>
      <w:pPr>
        <w:pStyle w:val="25"/>
        <w:ind w:firstLine="420" w:firstLineChars="200"/>
        <w:rPr>
          <w:color w:val="000000" w:themeColor="text1"/>
          <w:sz w:val="21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sz w:val="21"/>
          <w:szCs w:val="24"/>
        </w:rPr>
        <w:t>3、主导医院在上传完签约合同后，每当成员医院完成委托、厂商上传合同完成签订，列表签约厂商、成员医院数值会发生变化。主导医院可点击列表数字查看，通过附件部分进行下载委托书或签订合同。</w:t>
      </w:r>
      <w:r>
        <w:rPr>
          <w:rFonts w:hint="eastAsia"/>
          <w:color w:val="000000" w:themeColor="text1"/>
          <w:sz w:val="21"/>
          <w:szCs w:val="24"/>
          <w14:textFill>
            <w14:solidFill>
              <w14:schemeClr w14:val="tx1"/>
            </w14:solidFill>
          </w14:textFill>
        </w:rPr>
        <w:t>如果签约厂商合同不符合要求，主导医院可在上报管理端前进行退回。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主导医院-查看签约厂商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主导医院-查看成员医院</w:t>
      </w:r>
    </w:p>
    <w:p>
      <w:pPr>
        <w:pStyle w:val="25"/>
        <w:ind w:firstLine="420" w:firstLineChars="200"/>
        <w:rPr>
          <w:sz w:val="21"/>
          <w:szCs w:val="24"/>
        </w:rPr>
      </w:pPr>
      <w:r>
        <w:rPr>
          <w:sz w:val="21"/>
          <w:szCs w:val="24"/>
        </w:rPr>
        <w:t>4</w:t>
      </w:r>
      <w:r>
        <w:rPr>
          <w:rFonts w:hint="eastAsia"/>
          <w:sz w:val="21"/>
          <w:szCs w:val="24"/>
        </w:rPr>
        <w:t>、主导医院也可直接点击列表的【委托】按钮进入详情，查看成员医院具体委托情况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t>主导医院</w:t>
      </w:r>
      <w:r>
        <w:rPr>
          <w:rFonts w:hint="eastAsia"/>
        </w:rPr>
        <w:t>-</w:t>
      </w:r>
      <w:r>
        <w:t>委托关系查看</w:t>
      </w:r>
    </w:p>
    <w:p>
      <w:pPr>
        <w:pStyle w:val="25"/>
        <w:ind w:firstLine="420" w:firstLineChars="200"/>
        <w:rPr>
          <w:sz w:val="21"/>
          <w:szCs w:val="24"/>
        </w:rPr>
      </w:pPr>
      <w:r>
        <w:rPr>
          <w:sz w:val="21"/>
          <w:szCs w:val="24"/>
        </w:rPr>
        <w:t>5</w:t>
      </w:r>
      <w:r>
        <w:rPr>
          <w:rFonts w:hint="eastAsia"/>
          <w:sz w:val="21"/>
          <w:szCs w:val="24"/>
        </w:rPr>
        <w:t>、等待全部成员医院、全部厂商完成委托和签订后，查看委托书、合同文件，都核对无误后，点击【上报】将具体数据上报给医保局即可。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t>主导医院</w:t>
      </w:r>
      <w:r>
        <w:rPr>
          <w:rFonts w:hint="eastAsia"/>
        </w:rPr>
        <w:t>-</w:t>
      </w:r>
      <w:r>
        <w:t>上报</w:t>
      </w:r>
    </w:p>
    <w:p>
      <w:pPr>
        <w:pStyle w:val="25"/>
        <w:ind w:firstLine="420" w:firstLineChars="200"/>
        <w:rPr>
          <w:sz w:val="21"/>
          <w:szCs w:val="24"/>
        </w:rPr>
      </w:pPr>
      <w:r>
        <w:rPr>
          <w:sz w:val="21"/>
          <w:szCs w:val="24"/>
        </w:rPr>
        <w:t>5</w:t>
      </w:r>
      <w:r>
        <w:rPr>
          <w:rFonts w:hint="eastAsia"/>
          <w:sz w:val="21"/>
          <w:szCs w:val="24"/>
        </w:rPr>
        <w:t>、上报后，需等待医保局审核，若其退回，则重新核对信息，若其同意则关系建立完成。</w:t>
      </w:r>
    </w:p>
    <w:p>
      <w:pPr>
        <w:pStyle w:val="25"/>
        <w:jc w:val="center"/>
      </w:pPr>
      <w:r>
        <w:drawing>
          <wp:inline distT="0" distB="0" distL="0" distR="0">
            <wp:extent cx="5580380" cy="2816225"/>
            <wp:effectExtent l="0" t="0" r="127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5"/>
        <w:jc w:val="center"/>
      </w:pPr>
      <w:r>
        <w:rPr>
          <w:rFonts w:hint="eastAsia"/>
        </w:rPr>
        <w:t>主导医院-查看上报审核状态</w:t>
      </w:r>
    </w:p>
    <w:p>
      <w:pPr>
        <w:pStyle w:val="5"/>
      </w:pPr>
      <w:bookmarkStart w:id="18" w:name="_Toc26060"/>
      <w:r>
        <w:rPr>
          <w:rFonts w:hint="eastAsia"/>
        </w:rPr>
        <w:t>注意事项</w:t>
      </w:r>
      <w:bookmarkEnd w:id="18"/>
    </w:p>
    <w:p>
      <w:pPr>
        <w:ind w:firstLine="420"/>
      </w:pPr>
      <w:r>
        <w:rPr>
          <w:rFonts w:hint="eastAsia"/>
        </w:rPr>
        <w:t>*注：无。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5774C0"/>
    <w:multiLevelType w:val="multilevel"/>
    <w:tmpl w:val="925774C0"/>
    <w:lvl w:ilvl="0" w:tentative="0">
      <w:start w:val="1"/>
      <w:numFmt w:val="decimal"/>
      <w:pStyle w:val="2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4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5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pStyle w:val="6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01F82F49"/>
    <w:multiLevelType w:val="multilevel"/>
    <w:tmpl w:val="01F82F49"/>
    <w:lvl w:ilvl="0" w:tentative="0">
      <w:start w:val="1"/>
      <w:numFmt w:val="decimal"/>
      <w:pStyle w:val="54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2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3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3">
    <w:nsid w:val="3450186D"/>
    <w:multiLevelType w:val="multilevel"/>
    <w:tmpl w:val="3450186D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9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0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1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1"/>
  </w:num>
  <w:num w:numId="5">
    <w:abstractNumId w:val="3"/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2394781"/>
    <w:rsid w:val="03351F2E"/>
    <w:rsid w:val="03A467F3"/>
    <w:rsid w:val="03A9596E"/>
    <w:rsid w:val="03B420C9"/>
    <w:rsid w:val="04477859"/>
    <w:rsid w:val="05006E12"/>
    <w:rsid w:val="06E81E0E"/>
    <w:rsid w:val="07CA39B5"/>
    <w:rsid w:val="07D53519"/>
    <w:rsid w:val="07DB67FB"/>
    <w:rsid w:val="08AF2D38"/>
    <w:rsid w:val="09555BE9"/>
    <w:rsid w:val="09813BAE"/>
    <w:rsid w:val="09CD6ADE"/>
    <w:rsid w:val="0A227D10"/>
    <w:rsid w:val="0AF03CFB"/>
    <w:rsid w:val="0CF228F1"/>
    <w:rsid w:val="0D0417A2"/>
    <w:rsid w:val="0D0C310F"/>
    <w:rsid w:val="0E5059E2"/>
    <w:rsid w:val="0EAC758F"/>
    <w:rsid w:val="0EE53FB5"/>
    <w:rsid w:val="10694F37"/>
    <w:rsid w:val="10E37CCB"/>
    <w:rsid w:val="112D4C11"/>
    <w:rsid w:val="11C0789C"/>
    <w:rsid w:val="12215B15"/>
    <w:rsid w:val="122D02D9"/>
    <w:rsid w:val="12443874"/>
    <w:rsid w:val="126447D9"/>
    <w:rsid w:val="13224875"/>
    <w:rsid w:val="13916631"/>
    <w:rsid w:val="13D91E80"/>
    <w:rsid w:val="13EE59DD"/>
    <w:rsid w:val="144D660C"/>
    <w:rsid w:val="1643557C"/>
    <w:rsid w:val="167D7F1C"/>
    <w:rsid w:val="16833E99"/>
    <w:rsid w:val="16B8788D"/>
    <w:rsid w:val="16C9382B"/>
    <w:rsid w:val="1770769A"/>
    <w:rsid w:val="17EE7098"/>
    <w:rsid w:val="182E41D5"/>
    <w:rsid w:val="18596C7D"/>
    <w:rsid w:val="187F582C"/>
    <w:rsid w:val="188501DA"/>
    <w:rsid w:val="188879BB"/>
    <w:rsid w:val="18FD1883"/>
    <w:rsid w:val="191B532F"/>
    <w:rsid w:val="19526EA1"/>
    <w:rsid w:val="197B4878"/>
    <w:rsid w:val="19AD4F57"/>
    <w:rsid w:val="1A2D5452"/>
    <w:rsid w:val="1A432B1B"/>
    <w:rsid w:val="1A956556"/>
    <w:rsid w:val="1B5C033D"/>
    <w:rsid w:val="1B811852"/>
    <w:rsid w:val="1CE065DA"/>
    <w:rsid w:val="1E5A7302"/>
    <w:rsid w:val="1E5E3CE4"/>
    <w:rsid w:val="1EC574E9"/>
    <w:rsid w:val="1F3738CB"/>
    <w:rsid w:val="1F7D4833"/>
    <w:rsid w:val="1F8575E2"/>
    <w:rsid w:val="1F9127B3"/>
    <w:rsid w:val="20186B5E"/>
    <w:rsid w:val="202A24A9"/>
    <w:rsid w:val="203B62B7"/>
    <w:rsid w:val="218D0B89"/>
    <w:rsid w:val="21A05FD0"/>
    <w:rsid w:val="21CD65E3"/>
    <w:rsid w:val="22D53B12"/>
    <w:rsid w:val="23727183"/>
    <w:rsid w:val="24EE3648"/>
    <w:rsid w:val="253A712A"/>
    <w:rsid w:val="25D5416A"/>
    <w:rsid w:val="26C23BA0"/>
    <w:rsid w:val="26C83D85"/>
    <w:rsid w:val="2853768C"/>
    <w:rsid w:val="28C04BAD"/>
    <w:rsid w:val="28CC6A0C"/>
    <w:rsid w:val="29217F2F"/>
    <w:rsid w:val="2AD2620E"/>
    <w:rsid w:val="2B754C27"/>
    <w:rsid w:val="2B9B4B83"/>
    <w:rsid w:val="2C0559CB"/>
    <w:rsid w:val="2CA77DEB"/>
    <w:rsid w:val="2CE7502C"/>
    <w:rsid w:val="2DEC6710"/>
    <w:rsid w:val="2E400F46"/>
    <w:rsid w:val="2FAE762C"/>
    <w:rsid w:val="302B4483"/>
    <w:rsid w:val="30D04370"/>
    <w:rsid w:val="31364808"/>
    <w:rsid w:val="31737CCF"/>
    <w:rsid w:val="318D1842"/>
    <w:rsid w:val="33254DEB"/>
    <w:rsid w:val="34190192"/>
    <w:rsid w:val="368343F7"/>
    <w:rsid w:val="37542BF3"/>
    <w:rsid w:val="37A26320"/>
    <w:rsid w:val="382D2906"/>
    <w:rsid w:val="38DE5B71"/>
    <w:rsid w:val="39303A1D"/>
    <w:rsid w:val="39B202E9"/>
    <w:rsid w:val="39BF540B"/>
    <w:rsid w:val="3A3418CC"/>
    <w:rsid w:val="3D764DF9"/>
    <w:rsid w:val="3EBB0349"/>
    <w:rsid w:val="3F3D3A4E"/>
    <w:rsid w:val="3FF84355"/>
    <w:rsid w:val="41801BF2"/>
    <w:rsid w:val="41DE60F3"/>
    <w:rsid w:val="41E358FE"/>
    <w:rsid w:val="42031C5E"/>
    <w:rsid w:val="4282620A"/>
    <w:rsid w:val="42C120C3"/>
    <w:rsid w:val="43014502"/>
    <w:rsid w:val="44496226"/>
    <w:rsid w:val="44657EFE"/>
    <w:rsid w:val="44751EB7"/>
    <w:rsid w:val="44F45C30"/>
    <w:rsid w:val="4590654A"/>
    <w:rsid w:val="46875359"/>
    <w:rsid w:val="48055A77"/>
    <w:rsid w:val="482C73CE"/>
    <w:rsid w:val="49DA7FA3"/>
    <w:rsid w:val="4A262FDB"/>
    <w:rsid w:val="4A4D4348"/>
    <w:rsid w:val="4A745E93"/>
    <w:rsid w:val="4AAA7A11"/>
    <w:rsid w:val="4AC3564E"/>
    <w:rsid w:val="4B0E6E44"/>
    <w:rsid w:val="4B9E713C"/>
    <w:rsid w:val="4BAD0B24"/>
    <w:rsid w:val="4BB5774C"/>
    <w:rsid w:val="4BCA1072"/>
    <w:rsid w:val="4BCE75A2"/>
    <w:rsid w:val="4BD50442"/>
    <w:rsid w:val="4BF20B81"/>
    <w:rsid w:val="4C347EF7"/>
    <w:rsid w:val="4C42741D"/>
    <w:rsid w:val="4C8E0928"/>
    <w:rsid w:val="4C9B405C"/>
    <w:rsid w:val="4D426840"/>
    <w:rsid w:val="4DE4611D"/>
    <w:rsid w:val="4E5214A5"/>
    <w:rsid w:val="4E7B5546"/>
    <w:rsid w:val="4F5904A2"/>
    <w:rsid w:val="4FF67B47"/>
    <w:rsid w:val="501B21DB"/>
    <w:rsid w:val="50BB22A7"/>
    <w:rsid w:val="5349426B"/>
    <w:rsid w:val="539A5724"/>
    <w:rsid w:val="546E3F05"/>
    <w:rsid w:val="5491183A"/>
    <w:rsid w:val="54DE7482"/>
    <w:rsid w:val="55D55C3C"/>
    <w:rsid w:val="565516D4"/>
    <w:rsid w:val="56B92CD7"/>
    <w:rsid w:val="56BC6DF4"/>
    <w:rsid w:val="579E21DF"/>
    <w:rsid w:val="58C20E44"/>
    <w:rsid w:val="58D766B9"/>
    <w:rsid w:val="58EA3C13"/>
    <w:rsid w:val="59F76345"/>
    <w:rsid w:val="5AC20F4F"/>
    <w:rsid w:val="5B215EAD"/>
    <w:rsid w:val="5B701157"/>
    <w:rsid w:val="5B7F7374"/>
    <w:rsid w:val="5C336BE9"/>
    <w:rsid w:val="5C40507F"/>
    <w:rsid w:val="5C536D64"/>
    <w:rsid w:val="5C931A69"/>
    <w:rsid w:val="5CC234A5"/>
    <w:rsid w:val="5D2E6068"/>
    <w:rsid w:val="5E7B35FC"/>
    <w:rsid w:val="5F01032E"/>
    <w:rsid w:val="601939CB"/>
    <w:rsid w:val="60543AD3"/>
    <w:rsid w:val="61B71D9C"/>
    <w:rsid w:val="62B66AFB"/>
    <w:rsid w:val="63937682"/>
    <w:rsid w:val="641301EA"/>
    <w:rsid w:val="64CF63F4"/>
    <w:rsid w:val="657B7B75"/>
    <w:rsid w:val="658A7362"/>
    <w:rsid w:val="65ED5044"/>
    <w:rsid w:val="673A7430"/>
    <w:rsid w:val="6756252B"/>
    <w:rsid w:val="68624E38"/>
    <w:rsid w:val="690E19C9"/>
    <w:rsid w:val="69313AB9"/>
    <w:rsid w:val="694678B7"/>
    <w:rsid w:val="696D3186"/>
    <w:rsid w:val="6A062771"/>
    <w:rsid w:val="6ACD5B9B"/>
    <w:rsid w:val="6AD00745"/>
    <w:rsid w:val="6C514CFF"/>
    <w:rsid w:val="6C684ADD"/>
    <w:rsid w:val="70043610"/>
    <w:rsid w:val="70086310"/>
    <w:rsid w:val="70435849"/>
    <w:rsid w:val="70DA43C9"/>
    <w:rsid w:val="70F00A96"/>
    <w:rsid w:val="719B190A"/>
    <w:rsid w:val="75892108"/>
    <w:rsid w:val="76F51ECB"/>
    <w:rsid w:val="77177630"/>
    <w:rsid w:val="77817275"/>
    <w:rsid w:val="7A147459"/>
    <w:rsid w:val="7A6E4128"/>
    <w:rsid w:val="7ACF095D"/>
    <w:rsid w:val="7AFC6528"/>
    <w:rsid w:val="7B1E3C25"/>
    <w:rsid w:val="7CB71B8B"/>
    <w:rsid w:val="7DE534E1"/>
    <w:rsid w:val="7E991298"/>
    <w:rsid w:val="7EFD017F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2">
    <w:name w:val="heading 1"/>
    <w:basedOn w:val="3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firstLineChars="0"/>
      <w:jc w:val="left"/>
    </w:pPr>
    <w:rPr>
      <w:rFonts w:ascii="Times New Roman" w:hAnsi="Times New Roman"/>
      <w:bCs/>
      <w:kern w:val="44"/>
      <w:sz w:val="28"/>
      <w:szCs w:val="44"/>
    </w:rPr>
  </w:style>
  <w:style w:type="paragraph" w:styleId="4">
    <w:name w:val="heading 2"/>
    <w:basedOn w:val="1"/>
    <w:next w:val="1"/>
    <w:link w:val="36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firstLineChars="0"/>
      <w:jc w:val="left"/>
      <w:outlineLvl w:val="1"/>
    </w:pPr>
    <w:rPr>
      <w:b/>
      <w:bCs/>
      <w:sz w:val="24"/>
      <w:szCs w:val="32"/>
    </w:rPr>
  </w:style>
  <w:style w:type="paragraph" w:styleId="5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</w:tabs>
      <w:ind w:firstLineChars="0"/>
      <w:outlineLvl w:val="2"/>
    </w:pPr>
    <w:rPr>
      <w:rFonts w:cs="宋体"/>
      <w:b/>
      <w:bCs/>
      <w:sz w:val="24"/>
      <w:szCs w:val="32"/>
    </w:rPr>
  </w:style>
  <w:style w:type="paragraph" w:styleId="6">
    <w:name w:val="heading 4"/>
    <w:basedOn w:val="1"/>
    <w:next w:val="1"/>
    <w:link w:val="72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7">
    <w:name w:val="heading 5"/>
    <w:basedOn w:val="1"/>
    <w:next w:val="1"/>
    <w:link w:val="39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8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9">
    <w:name w:val="heading 7"/>
    <w:basedOn w:val="1"/>
    <w:next w:val="1"/>
    <w:link w:val="40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0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1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2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3">
    <w:name w:val="caption"/>
    <w:basedOn w:val="1"/>
    <w:next w:val="1"/>
    <w:link w:val="41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4">
    <w:name w:val="annotation text"/>
    <w:basedOn w:val="1"/>
    <w:unhideWhenUsed/>
    <w:qFormat/>
    <w:uiPriority w:val="0"/>
    <w:pPr>
      <w:jc w:val="left"/>
    </w:pPr>
  </w:style>
  <w:style w:type="paragraph" w:styleId="15">
    <w:name w:val="Body Text"/>
    <w:basedOn w:val="1"/>
    <w:unhideWhenUsed/>
    <w:qFormat/>
    <w:uiPriority w:val="0"/>
    <w:pPr>
      <w:spacing w:after="120"/>
    </w:pPr>
  </w:style>
  <w:style w:type="paragraph" w:styleId="16">
    <w:name w:val="Body Text Indent"/>
    <w:basedOn w:val="1"/>
    <w:link w:val="65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6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2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2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15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5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6">
    <w:name w:val="标题 2 字符"/>
    <w:link w:val="4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37">
    <w:name w:val="标题 1 字符"/>
    <w:link w:val="2"/>
    <w:qFormat/>
    <w:uiPriority w:val="0"/>
    <w:rPr>
      <w:b/>
      <w:bCs/>
      <w:kern w:val="44"/>
      <w:sz w:val="28"/>
      <w:szCs w:val="44"/>
    </w:rPr>
  </w:style>
  <w:style w:type="character" w:customStyle="1" w:styleId="38">
    <w:name w:val="标题 3 字符"/>
    <w:link w:val="5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5 字符"/>
    <w:link w:val="7"/>
    <w:qFormat/>
    <w:uiPriority w:val="9"/>
    <w:rPr>
      <w:rFonts w:ascii="宋体" w:hAnsi="宋体"/>
      <w:b/>
      <w:sz w:val="21"/>
      <w:szCs w:val="22"/>
    </w:rPr>
  </w:style>
  <w:style w:type="character" w:customStyle="1" w:styleId="40">
    <w:name w:val="标题 7 字符"/>
    <w:link w:val="9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1">
    <w:name w:val="题注 字符"/>
    <w:link w:val="13"/>
    <w:qFormat/>
    <w:uiPriority w:val="35"/>
    <w:rPr>
      <w:rFonts w:ascii="宋体" w:hAnsi="宋体"/>
      <w:sz w:val="18"/>
      <w:szCs w:val="22"/>
    </w:rPr>
  </w:style>
  <w:style w:type="character" w:customStyle="1" w:styleId="42">
    <w:name w:val="TOC 1 字符"/>
    <w:link w:val="23"/>
    <w:qFormat/>
    <w:uiPriority w:val="0"/>
  </w:style>
  <w:style w:type="paragraph" w:customStyle="1" w:styleId="43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4">
    <w:name w:val="表格体"/>
    <w:basedOn w:val="1"/>
    <w:link w:val="45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5">
    <w:name w:val="表格体 字符"/>
    <w:link w:val="44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7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8">
    <w:name w:val="列表段落1"/>
    <w:basedOn w:val="1"/>
    <w:link w:val="49"/>
    <w:qFormat/>
    <w:uiPriority w:val="34"/>
    <w:pPr>
      <w:ind w:firstLine="420"/>
    </w:pPr>
  </w:style>
  <w:style w:type="character" w:customStyle="1" w:styleId="49">
    <w:name w:val="列表段落 字符"/>
    <w:link w:val="48"/>
    <w:qFormat/>
    <w:uiPriority w:val="34"/>
    <w:rPr>
      <w:rFonts w:ascii="宋体" w:hAnsi="宋体"/>
      <w:sz w:val="21"/>
      <w:szCs w:val="21"/>
    </w:rPr>
  </w:style>
  <w:style w:type="paragraph" w:customStyle="1" w:styleId="50">
    <w:name w:val="文内正文"/>
    <w:basedOn w:val="48"/>
    <w:link w:val="51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1">
    <w:name w:val="文内正文 字符"/>
    <w:basedOn w:val="33"/>
    <w:link w:val="50"/>
    <w:qFormat/>
    <w:uiPriority w:val="0"/>
    <w:rPr>
      <w:rFonts w:ascii="宋体" w:hAnsi="宋体" w:cs="宋体"/>
      <w:sz w:val="21"/>
      <w:szCs w:val="24"/>
    </w:rPr>
  </w:style>
  <w:style w:type="character" w:customStyle="1" w:styleId="52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3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4">
    <w:name w:val="图片下标"/>
    <w:basedOn w:val="13"/>
    <w:link w:val="55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5">
    <w:name w:val="图片下标 字符"/>
    <w:basedOn w:val="41"/>
    <w:link w:val="54"/>
    <w:qFormat/>
    <w:uiPriority w:val="0"/>
    <w:rPr>
      <w:rFonts w:ascii="宋体" w:hAnsi="宋体" w:cs="Arial"/>
      <w:sz w:val="18"/>
      <w:szCs w:val="18"/>
    </w:rPr>
  </w:style>
  <w:style w:type="paragraph" w:customStyle="1" w:styleId="56">
    <w:name w:val="Section7"/>
    <w:basedOn w:val="9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7">
    <w:name w:val="Section8"/>
    <w:basedOn w:val="10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58">
    <w:name w:val="文内标题一"/>
    <w:basedOn w:val="2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59">
    <w:name w:val="文内标题二"/>
    <w:basedOn w:val="4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0">
    <w:name w:val="文内标题三"/>
    <w:basedOn w:val="5"/>
    <w:link w:val="61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1">
    <w:name w:val="文内标题三 字符"/>
    <w:basedOn w:val="38"/>
    <w:link w:val="60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2">
    <w:name w:val="文内标题四"/>
    <w:basedOn w:val="63"/>
    <w:qFormat/>
    <w:uiPriority w:val="0"/>
    <w:pPr>
      <w:widowControl/>
      <w:tabs>
        <w:tab w:val="left" w:pos="295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3">
    <w:name w:val="Section4"/>
    <w:basedOn w:val="6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4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5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6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7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68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69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0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1">
    <w:name w:val="List Paragraph"/>
    <w:basedOn w:val="1"/>
    <w:qFormat/>
    <w:uiPriority w:val="34"/>
    <w:pPr>
      <w:ind w:firstLine="420"/>
    </w:pPr>
  </w:style>
  <w:style w:type="character" w:customStyle="1" w:styleId="72">
    <w:name w:val="标题 4 字符"/>
    <w:basedOn w:val="33"/>
    <w:link w:val="6"/>
    <w:qFormat/>
    <w:uiPriority w:val="0"/>
    <w:rPr>
      <w:rFonts w:ascii="Arial" w:hAnsi="Arial"/>
      <w:b/>
      <w:sz w:val="21"/>
      <w:szCs w:val="22"/>
    </w:rPr>
  </w:style>
  <w:style w:type="character" w:customStyle="1" w:styleId="73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4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Unresolved Mention"/>
    <w:basedOn w:val="33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9" Type="http://schemas.openxmlformats.org/officeDocument/2006/relationships/fontTable" Target="fontTable.xml"/><Relationship Id="rId28" Type="http://schemas.openxmlformats.org/officeDocument/2006/relationships/customXml" Target="../customXml/item2.xml"/><Relationship Id="rId27" Type="http://schemas.openxmlformats.org/officeDocument/2006/relationships/numbering" Target="numbering.xml"/><Relationship Id="rId26" Type="http://schemas.openxmlformats.org/officeDocument/2006/relationships/customXml" Target="../customXml/item1.xml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995</Words>
  <Characters>5676</Characters>
  <Lines>47</Lines>
  <Paragraphs>13</Paragraphs>
  <TotalTime>0</TotalTime>
  <ScaleCrop>false</ScaleCrop>
  <LinksUpToDate>false</LinksUpToDate>
  <CharactersWithSpaces>6658</CharactersWithSpaces>
  <Application>WPS Office_11.1.0.11372_F1E327BC-269C-435d-A152-05C5408002CA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燕归巢</cp:lastModifiedBy>
  <dcterms:modified xsi:type="dcterms:W3CDTF">2022-05-23T01:10:43Z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2052-11.1.0.11372</vt:lpwstr>
  </property>
  <property fmtid="{D5CDD505-2E9C-101B-9397-08002B2CF9AE}" pid="3" name="ICV">
    <vt:lpwstr>F80CD13112294E859E11651B54E25D37</vt:lpwstr>
  </property>
</Properties>
</file>